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28490"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p>
    <w:p w14:paraId="0CC43E44"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SUPPLEMENT TO ACCOMPANY</w:t>
      </w:r>
    </w:p>
    <w:p w14:paraId="5F956D4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028E550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CORPORATE, PARTNERSHIP, ESTATE AND GIFT TAXATION</w:t>
      </w:r>
    </w:p>
    <w:p w14:paraId="2960D2D9"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0285987E" w14:textId="6AEB8D0A"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20</w:t>
      </w:r>
      <w:r w:rsidR="00442196">
        <w:rPr>
          <w:b/>
          <w:sz w:val="48"/>
        </w:rPr>
        <w:t>2</w:t>
      </w:r>
      <w:r w:rsidR="00371EE1">
        <w:rPr>
          <w:b/>
          <w:sz w:val="48"/>
        </w:rPr>
        <w:t>2</w:t>
      </w:r>
      <w:r>
        <w:rPr>
          <w:b/>
          <w:sz w:val="48"/>
        </w:rPr>
        <w:t xml:space="preserve"> EDITION</w:t>
      </w:r>
    </w:p>
    <w:p w14:paraId="5A37D31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2AAA17D7"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5A614E99" w14:textId="56AD06D8" w:rsidR="00826BAB" w:rsidRDefault="00305E8F" w:rsidP="00826BAB">
      <w:pPr>
        <w:pBdr>
          <w:top w:val="double" w:sz="4" w:space="1" w:color="auto"/>
          <w:left w:val="double" w:sz="4" w:space="1" w:color="auto"/>
          <w:bottom w:val="double" w:sz="4" w:space="1" w:color="auto"/>
          <w:right w:val="double" w:sz="4" w:space="1" w:color="auto"/>
        </w:pBdr>
        <w:spacing w:line="240" w:lineRule="atLeast"/>
        <w:jc w:val="center"/>
        <w:rPr>
          <w:b/>
          <w:sz w:val="28"/>
        </w:rPr>
      </w:pPr>
      <w:r>
        <w:rPr>
          <w:b/>
          <w:sz w:val="28"/>
        </w:rPr>
        <w:t>Pratt-</w:t>
      </w:r>
      <w:r w:rsidR="00826BAB">
        <w:rPr>
          <w:b/>
          <w:sz w:val="28"/>
        </w:rPr>
        <w:t>Kulsrud</w:t>
      </w:r>
      <w:r>
        <w:rPr>
          <w:b/>
          <w:sz w:val="28"/>
        </w:rPr>
        <w:t>-Burton</w:t>
      </w:r>
    </w:p>
    <w:p w14:paraId="621125F6"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46EA3B2A"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22EC8A35" w14:textId="77777777" w:rsidR="00826BAB" w:rsidRPr="002B5FFE"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0"/>
        </w:rPr>
      </w:pPr>
      <w:r w:rsidRPr="002B5FFE">
        <w:rPr>
          <w:b/>
          <w:sz w:val="40"/>
        </w:rPr>
        <w:t>Changes introduced by the</w:t>
      </w:r>
    </w:p>
    <w:p w14:paraId="3A241584" w14:textId="77777777" w:rsidR="00D23ED7"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32"/>
          <w:szCs w:val="18"/>
        </w:rPr>
      </w:pPr>
    </w:p>
    <w:p w14:paraId="153BE52C" w14:textId="04B21DB2" w:rsidR="00D23ED7" w:rsidRPr="001C0D94" w:rsidRDefault="00371EE1" w:rsidP="00D23ED7">
      <w:pPr>
        <w:pBdr>
          <w:top w:val="double" w:sz="4" w:space="1" w:color="auto"/>
          <w:left w:val="double" w:sz="4" w:space="1" w:color="auto"/>
          <w:bottom w:val="double" w:sz="4" w:space="1" w:color="auto"/>
          <w:right w:val="double" w:sz="4" w:space="1" w:color="auto"/>
        </w:pBdr>
        <w:spacing w:line="240" w:lineRule="atLeast"/>
        <w:jc w:val="center"/>
        <w:rPr>
          <w:b/>
          <w:sz w:val="40"/>
          <w:szCs w:val="22"/>
        </w:rPr>
      </w:pPr>
      <w:r w:rsidRPr="001C0D94">
        <w:rPr>
          <w:b/>
          <w:sz w:val="36"/>
          <w:szCs w:val="36"/>
        </w:rPr>
        <w:t>American Rescue Plan Act of 2021</w:t>
      </w:r>
    </w:p>
    <w:p w14:paraId="727145A7" w14:textId="77777777" w:rsidR="00371EE1" w:rsidRDefault="00371EE1" w:rsidP="00D23ED7">
      <w:pPr>
        <w:pBdr>
          <w:top w:val="double" w:sz="4" w:space="1" w:color="auto"/>
          <w:left w:val="double" w:sz="4" w:space="1" w:color="auto"/>
          <w:bottom w:val="double" w:sz="4" w:space="1" w:color="auto"/>
          <w:right w:val="double" w:sz="4" w:space="1" w:color="auto"/>
        </w:pBdr>
        <w:spacing w:line="240" w:lineRule="atLeast"/>
        <w:jc w:val="center"/>
        <w:rPr>
          <w:b/>
          <w:sz w:val="28"/>
          <w:szCs w:val="18"/>
        </w:rPr>
      </w:pPr>
    </w:p>
    <w:p w14:paraId="35D38A2C" w14:textId="0CC4BC1C" w:rsidR="00D23ED7" w:rsidRPr="00CB7AD9"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18"/>
        </w:rPr>
      </w:pPr>
      <w:r w:rsidRPr="00CB7AD9">
        <w:rPr>
          <w:b/>
          <w:sz w:val="28"/>
          <w:szCs w:val="18"/>
        </w:rPr>
        <w:t>Pratt-Kulsrud-Burton Tax Series</w:t>
      </w:r>
    </w:p>
    <w:p w14:paraId="11403118" w14:textId="79B48AF3" w:rsidR="00751E71" w:rsidRPr="00CB7AD9" w:rsidRDefault="00D23ED7" w:rsidP="00826BAB">
      <w:pPr>
        <w:pBdr>
          <w:top w:val="double" w:sz="4" w:space="1" w:color="auto"/>
          <w:left w:val="double" w:sz="4" w:space="1" w:color="auto"/>
          <w:bottom w:val="double" w:sz="4" w:space="1" w:color="auto"/>
          <w:right w:val="double" w:sz="4" w:space="1" w:color="auto"/>
        </w:pBdr>
        <w:spacing w:line="240" w:lineRule="atLeast"/>
        <w:jc w:val="center"/>
        <w:rPr>
          <w:b/>
          <w:sz w:val="20"/>
        </w:rPr>
      </w:pPr>
      <w:r w:rsidRPr="00CB7AD9">
        <w:rPr>
          <w:b/>
          <w:sz w:val="28"/>
          <w:szCs w:val="18"/>
        </w:rPr>
        <w:t>Van-Griner</w:t>
      </w:r>
    </w:p>
    <w:p w14:paraId="5A541F67"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E43825E" w14:textId="38BC6E79" w:rsidR="003316CE" w:rsidRDefault="00371EE1" w:rsidP="00826BAB">
      <w:pPr>
        <w:pBdr>
          <w:top w:val="double" w:sz="4" w:space="1" w:color="auto"/>
          <w:left w:val="double" w:sz="4" w:space="1" w:color="auto"/>
          <w:bottom w:val="double" w:sz="4" w:space="1" w:color="auto"/>
          <w:right w:val="double" w:sz="4" w:space="1" w:color="auto"/>
        </w:pBdr>
        <w:spacing w:line="240" w:lineRule="atLeast"/>
        <w:jc w:val="center"/>
        <w:rPr>
          <w:b/>
        </w:rPr>
      </w:pPr>
      <w:r w:rsidRPr="00371EE1">
        <w:rPr>
          <w:b/>
        </w:rPr>
        <w:t>August 31, 2021</w:t>
      </w:r>
    </w:p>
    <w:p w14:paraId="6717A49D"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1130B48"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6753288" w14:textId="77777777" w:rsidR="00CB7AD9" w:rsidRDefault="00CB7AD9"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22A48061"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BDDDE0F"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7575405"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6A81C57" w14:textId="0D110CCB"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2248902" w14:textId="77777777" w:rsidR="001C0D94" w:rsidRDefault="001C0D94"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0F5E72D1" w14:textId="3567879B" w:rsidR="00371EE1" w:rsidRDefault="00371EE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5FCA0A51" w14:textId="64FAAA6D" w:rsidR="00371EE1" w:rsidRDefault="00371EE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7F69121A" w14:textId="7CE86EF8" w:rsidR="00371EE1" w:rsidRDefault="00371EE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7BF62649" w14:textId="2D27CB03" w:rsidR="00371EE1" w:rsidRDefault="00371EE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AA3FBBE" w14:textId="2FFD9712" w:rsidR="00371EE1" w:rsidRDefault="00371EE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2E99485C" w14:textId="4979BB73" w:rsidR="00371EE1" w:rsidRDefault="00371EE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5E19164C" w14:textId="77777777" w:rsidR="00371EE1" w:rsidRDefault="00371EE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759382D5" w14:textId="27E72566" w:rsidR="00826BAB" w:rsidRPr="00B42945"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20"/>
        </w:rPr>
      </w:pPr>
      <w:r w:rsidRPr="00B42945">
        <w:rPr>
          <w:i/>
          <w:sz w:val="20"/>
        </w:rPr>
        <w:t xml:space="preserve">All rights reserved.  </w:t>
      </w:r>
      <w:r w:rsidRPr="00B42945">
        <w:rPr>
          <w:sz w:val="20"/>
        </w:rPr>
        <w:t>The contents or parts thereof, may be reproduced for classroom use</w:t>
      </w:r>
      <w:r w:rsidR="00F26E8A">
        <w:rPr>
          <w:sz w:val="20"/>
        </w:rPr>
        <w:t xml:space="preserve"> with</w:t>
      </w:r>
      <w:r w:rsidRPr="00B42945">
        <w:rPr>
          <w:sz w:val="20"/>
        </w:rPr>
        <w:t xml:space="preserve"> </w:t>
      </w:r>
      <w:r w:rsidRPr="00B42945">
        <w:rPr>
          <w:sz w:val="20"/>
        </w:rPr>
        <w:br/>
      </w:r>
      <w:r>
        <w:rPr>
          <w:i/>
          <w:sz w:val="20"/>
        </w:rPr>
        <w:t xml:space="preserve">Corporate, Partnership, Estate and Gift </w:t>
      </w:r>
      <w:r w:rsidRPr="00B42945">
        <w:rPr>
          <w:i/>
          <w:sz w:val="20"/>
        </w:rPr>
        <w:t>Taxation</w:t>
      </w:r>
      <w:r w:rsidRPr="00B42945">
        <w:rPr>
          <w:sz w:val="20"/>
        </w:rPr>
        <w:t xml:space="preserve"> </w:t>
      </w:r>
      <w:r w:rsidR="00371EE1">
        <w:rPr>
          <w:sz w:val="20"/>
        </w:rPr>
        <w:t>2022</w:t>
      </w:r>
      <w:r w:rsidRPr="00B42945">
        <w:rPr>
          <w:sz w:val="20"/>
        </w:rPr>
        <w:t xml:space="preserve"> Edition </w:t>
      </w:r>
      <w:r w:rsidR="00D334A1">
        <w:rPr>
          <w:sz w:val="20"/>
        </w:rPr>
        <w:t xml:space="preserve">by Pratt, </w:t>
      </w:r>
      <w:r w:rsidRPr="00B42945">
        <w:rPr>
          <w:sz w:val="20"/>
        </w:rPr>
        <w:t>Kulsrud</w:t>
      </w:r>
      <w:r w:rsidR="00D334A1">
        <w:rPr>
          <w:sz w:val="20"/>
        </w:rPr>
        <w:t xml:space="preserve"> and Burton</w:t>
      </w:r>
      <w:r w:rsidRPr="00B42945">
        <w:rPr>
          <w:sz w:val="20"/>
        </w:rPr>
        <w:t xml:space="preserve">, </w:t>
      </w:r>
      <w:r w:rsidR="00F26E8A">
        <w:rPr>
          <w:sz w:val="20"/>
        </w:rPr>
        <w:br/>
      </w:r>
      <w:r w:rsidRPr="00B42945">
        <w:rPr>
          <w:sz w:val="20"/>
        </w:rPr>
        <w:t>provided such reproductions bear copyright notice and the number reproduced does not exceed</w:t>
      </w:r>
      <w:r w:rsidR="00A402F4">
        <w:rPr>
          <w:sz w:val="20"/>
        </w:rPr>
        <w:br/>
      </w:r>
      <w:r w:rsidRPr="00B42945">
        <w:rPr>
          <w:sz w:val="20"/>
        </w:rPr>
        <w:t xml:space="preserve"> the number of students using the text, but may not be reproduced in any form for any</w:t>
      </w:r>
      <w:r w:rsidR="00A402F4">
        <w:rPr>
          <w:sz w:val="20"/>
        </w:rPr>
        <w:br/>
      </w:r>
      <w:r w:rsidRPr="00B42945">
        <w:rPr>
          <w:sz w:val="20"/>
        </w:rPr>
        <w:t xml:space="preserve"> other purpose without written permission of the publisher</w:t>
      </w:r>
    </w:p>
    <w:p w14:paraId="5E9157D3"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1F7F138" w14:textId="77777777" w:rsidR="00826BAB" w:rsidRDefault="00826BAB" w:rsidP="00B52CC5"/>
    <w:p w14:paraId="13D4E7C8" w14:textId="77777777" w:rsidR="00D23ED7" w:rsidRPr="00A843C9" w:rsidRDefault="00D23ED7" w:rsidP="00D23ED7">
      <w:pPr>
        <w:rPr>
          <w:b/>
          <w:bCs/>
          <w:sz w:val="28"/>
        </w:rPr>
      </w:pPr>
      <w:bookmarkStart w:id="0" w:name="_Hlk36584355"/>
      <w:r w:rsidRPr="00A843C9">
        <w:rPr>
          <w:b/>
          <w:bCs/>
          <w:sz w:val="28"/>
        </w:rPr>
        <w:t>INTRODUCTION</w:t>
      </w:r>
    </w:p>
    <w:p w14:paraId="69CCAAB0" w14:textId="77777777" w:rsidR="00D23ED7" w:rsidRPr="00F238D0" w:rsidRDefault="00D23ED7" w:rsidP="00D23ED7">
      <w:pPr>
        <w:rPr>
          <w:sz w:val="24"/>
        </w:rPr>
      </w:pPr>
    </w:p>
    <w:p w14:paraId="0379548E" w14:textId="3F7B6C69" w:rsidR="00371EE1" w:rsidRDefault="00371EE1" w:rsidP="00371EE1">
      <w:r>
        <w:t xml:space="preserve">At this writing, </w:t>
      </w:r>
      <w:r w:rsidRPr="003F575E">
        <w:t>August 31, 2021</w:t>
      </w:r>
      <w:r>
        <w:t xml:space="preserve">, the United </w:t>
      </w:r>
      <w:proofErr w:type="gramStart"/>
      <w:r>
        <w:t>States</w:t>
      </w:r>
      <w:proofErr w:type="gramEnd"/>
      <w:r>
        <w:t xml:space="preserve"> and most of the world </w:t>
      </w:r>
      <w:r w:rsidRPr="003B2B50">
        <w:t>continue to grapple</w:t>
      </w:r>
      <w:r>
        <w:t xml:space="preserve"> with the far-reaching effects of the Covid-19 pandemic.  While health officials are doing what they can to contain the spread of the disease, the federal government also is trying to address the drastic toll the pandemic has had on the U.S. economy.  During 2020, Congress and President Trump</w:t>
      </w:r>
      <w:r w:rsidRPr="00EF7955">
        <w:t xml:space="preserve"> worked together to enact </w:t>
      </w:r>
      <w:r>
        <w:t>five</w:t>
      </w:r>
      <w:r w:rsidRPr="00EF7955">
        <w:t xml:space="preserve"> pieces of legislation that impact </w:t>
      </w:r>
      <w:r>
        <w:t>the</w:t>
      </w:r>
      <w:r w:rsidRPr="00EF7955">
        <w:t xml:space="preserve"> tax laws.</w:t>
      </w:r>
      <w:r>
        <w:t xml:space="preserve">  They include:</w:t>
      </w:r>
    </w:p>
    <w:p w14:paraId="60AD7120" w14:textId="77777777" w:rsidR="00371EE1" w:rsidRDefault="00371EE1" w:rsidP="00371EE1"/>
    <w:p w14:paraId="78D9B289" w14:textId="77777777" w:rsidR="00371EE1" w:rsidRDefault="00371EE1" w:rsidP="00371EE1">
      <w:pPr>
        <w:pStyle w:val="ListParagraph"/>
        <w:numPr>
          <w:ilvl w:val="0"/>
          <w:numId w:val="22"/>
        </w:numPr>
      </w:pPr>
      <w:r>
        <w:t xml:space="preserve">March 6, 2020:  </w:t>
      </w:r>
      <w:r w:rsidRPr="003F575E">
        <w:rPr>
          <w:i/>
          <w:iCs/>
        </w:rPr>
        <w:t>Coronavirus Preparedness and Response Supplemental Appropriations Act of 2020</w:t>
      </w:r>
      <w:r w:rsidRPr="00880F0D">
        <w:t xml:space="preserve"> (CPRSAA)</w:t>
      </w:r>
      <w:r>
        <w:t>.</w:t>
      </w:r>
    </w:p>
    <w:p w14:paraId="52A330C6" w14:textId="77777777" w:rsidR="00371EE1" w:rsidRDefault="00371EE1" w:rsidP="00371EE1"/>
    <w:p w14:paraId="5992F146" w14:textId="77777777" w:rsidR="00371EE1" w:rsidRDefault="00371EE1" w:rsidP="00371EE1">
      <w:pPr>
        <w:pStyle w:val="ListParagraph"/>
        <w:numPr>
          <w:ilvl w:val="0"/>
          <w:numId w:val="22"/>
        </w:numPr>
      </w:pPr>
      <w:r w:rsidRPr="00880F0D">
        <w:t xml:space="preserve">March </w:t>
      </w:r>
      <w:r>
        <w:t>18</w:t>
      </w:r>
      <w:r w:rsidRPr="00880F0D">
        <w:t xml:space="preserve">, 2020:  </w:t>
      </w:r>
      <w:r w:rsidRPr="003F575E">
        <w:rPr>
          <w:i/>
          <w:iCs/>
        </w:rPr>
        <w:t>Families First Coronavirus Response Act</w:t>
      </w:r>
      <w:r w:rsidRPr="00DF09B9">
        <w:t xml:space="preserve"> (FFCRA) and two of its component parts, the </w:t>
      </w:r>
      <w:r w:rsidRPr="003F575E">
        <w:rPr>
          <w:i/>
          <w:iCs/>
        </w:rPr>
        <w:t>Emergency Paid Sick Leave Act</w:t>
      </w:r>
      <w:r w:rsidRPr="00DF09B9">
        <w:t xml:space="preserve"> (EPSLA) and the </w:t>
      </w:r>
      <w:r w:rsidRPr="003F575E">
        <w:rPr>
          <w:i/>
          <w:iCs/>
        </w:rPr>
        <w:t>Emergency Family and Medical Leave Expansion Act</w:t>
      </w:r>
      <w:r w:rsidRPr="00DF09B9">
        <w:t xml:space="preserve"> (EFMLEA)</w:t>
      </w:r>
    </w:p>
    <w:p w14:paraId="753EDFFF" w14:textId="77777777" w:rsidR="00371EE1" w:rsidRDefault="00371EE1" w:rsidP="00371EE1"/>
    <w:p w14:paraId="0824241D" w14:textId="77777777" w:rsidR="00371EE1" w:rsidRDefault="00371EE1" w:rsidP="00371EE1">
      <w:pPr>
        <w:pStyle w:val="ListParagraph"/>
        <w:numPr>
          <w:ilvl w:val="0"/>
          <w:numId w:val="22"/>
        </w:numPr>
      </w:pPr>
      <w:r w:rsidRPr="00DF09B9">
        <w:t xml:space="preserve">March 27, 2020, </w:t>
      </w:r>
      <w:r w:rsidRPr="003F575E">
        <w:rPr>
          <w:i/>
          <w:iCs/>
        </w:rPr>
        <w:t>Coronavirus Aid, Relief, and Economic Security Act</w:t>
      </w:r>
      <w:r w:rsidRPr="00DF09B9">
        <w:t xml:space="preserve"> (CARES</w:t>
      </w:r>
      <w:r>
        <w:t>).</w:t>
      </w:r>
    </w:p>
    <w:p w14:paraId="6D8A245B" w14:textId="77777777" w:rsidR="00371EE1" w:rsidRDefault="00371EE1" w:rsidP="00371EE1"/>
    <w:p w14:paraId="67A19D42" w14:textId="77777777" w:rsidR="00371EE1" w:rsidRDefault="00371EE1" w:rsidP="00371EE1">
      <w:pPr>
        <w:pStyle w:val="ListParagraph"/>
        <w:numPr>
          <w:ilvl w:val="0"/>
          <w:numId w:val="22"/>
        </w:numPr>
      </w:pPr>
      <w:r w:rsidRPr="00DF09B9">
        <w:t xml:space="preserve">April 24, 2020, </w:t>
      </w:r>
      <w:r w:rsidRPr="003F575E">
        <w:rPr>
          <w:i/>
          <w:iCs/>
        </w:rPr>
        <w:t>Paycheck Protection Program and Health Care Enhancement Act</w:t>
      </w:r>
      <w:r>
        <w:t xml:space="preserve"> (PPP)</w:t>
      </w:r>
      <w:r w:rsidRPr="00DF09B9">
        <w:t>.</w:t>
      </w:r>
    </w:p>
    <w:p w14:paraId="3E1AE3E3" w14:textId="77777777" w:rsidR="00371EE1" w:rsidRDefault="00371EE1" w:rsidP="00371EE1">
      <w:pPr>
        <w:pStyle w:val="ListParagraph"/>
      </w:pPr>
    </w:p>
    <w:p w14:paraId="28A55F6C" w14:textId="77777777" w:rsidR="00371EE1" w:rsidRDefault="00371EE1" w:rsidP="00371EE1">
      <w:pPr>
        <w:pStyle w:val="ListParagraph"/>
        <w:numPr>
          <w:ilvl w:val="0"/>
          <w:numId w:val="22"/>
        </w:numPr>
      </w:pPr>
      <w:r w:rsidRPr="00DF09B9">
        <w:t xml:space="preserve">June 5, 2020, </w:t>
      </w:r>
      <w:r w:rsidRPr="003F575E">
        <w:rPr>
          <w:i/>
          <w:iCs/>
        </w:rPr>
        <w:t>Paycheck Protection Program Flexibility Act of 2020</w:t>
      </w:r>
      <w:r w:rsidRPr="00DF09B9">
        <w:t xml:space="preserve"> (PPFA)</w:t>
      </w:r>
    </w:p>
    <w:p w14:paraId="6B4A718C" w14:textId="77777777" w:rsidR="00371EE1" w:rsidRDefault="00371EE1" w:rsidP="00371EE1">
      <w:pPr>
        <w:pStyle w:val="ListParagraph"/>
      </w:pPr>
    </w:p>
    <w:p w14:paraId="21F2F45C" w14:textId="77777777" w:rsidR="00371EE1" w:rsidRDefault="00371EE1" w:rsidP="00371EE1">
      <w:pPr>
        <w:pStyle w:val="ListParagraph"/>
        <w:numPr>
          <w:ilvl w:val="0"/>
          <w:numId w:val="22"/>
        </w:numPr>
      </w:pPr>
      <w:r>
        <w:t xml:space="preserve">December 27, 2020, </w:t>
      </w:r>
      <w:r w:rsidRPr="00DF09B9">
        <w:rPr>
          <w:i/>
          <w:iCs/>
        </w:rPr>
        <w:t>Consolidated Appropriations Act of 202</w:t>
      </w:r>
      <w:r>
        <w:rPr>
          <w:i/>
          <w:iCs/>
        </w:rPr>
        <w:t>0</w:t>
      </w:r>
      <w:r w:rsidRPr="00DF09B9">
        <w:rPr>
          <w:i/>
          <w:iCs/>
        </w:rPr>
        <w:t xml:space="preserve"> </w:t>
      </w:r>
      <w:r w:rsidRPr="009E77FB">
        <w:t>(CAA)</w:t>
      </w:r>
      <w:r>
        <w:t xml:space="preserve">, which included the </w:t>
      </w:r>
      <w:r w:rsidRPr="00DF09B9">
        <w:rPr>
          <w:i/>
          <w:iCs/>
        </w:rPr>
        <w:t>Taxpayer Certainty and Disaster Tax Relief Act of 2020</w:t>
      </w:r>
      <w:r>
        <w:t xml:space="preserve"> (TCDTRA)</w:t>
      </w:r>
    </w:p>
    <w:p w14:paraId="00952180" w14:textId="77777777" w:rsidR="00371EE1" w:rsidRDefault="00371EE1" w:rsidP="00371EE1">
      <w:pPr>
        <w:pStyle w:val="ListParagraph"/>
      </w:pPr>
    </w:p>
    <w:p w14:paraId="7432E830" w14:textId="77777777" w:rsidR="00371EE1" w:rsidRDefault="00371EE1" w:rsidP="00371EE1">
      <w:r>
        <w:t xml:space="preserve">The relevant changes of the 2020 legislation are incorporated in the 2022 </w:t>
      </w:r>
      <w:r w:rsidRPr="00797318">
        <w:t>edition.  However, certain provisions are included in this supplement for reference.</w:t>
      </w:r>
    </w:p>
    <w:p w14:paraId="60027E96" w14:textId="77777777" w:rsidR="00371EE1" w:rsidRDefault="00371EE1" w:rsidP="00371EE1"/>
    <w:p w14:paraId="5ABF1D54" w14:textId="77777777" w:rsidR="00371EE1" w:rsidRDefault="00371EE1" w:rsidP="00371EE1">
      <w:r>
        <w:t xml:space="preserve">More recently, on March 11, 2021, President Biden signed into law the </w:t>
      </w:r>
      <w:r w:rsidRPr="00757375">
        <w:rPr>
          <w:i/>
          <w:iCs/>
        </w:rPr>
        <w:t>American Rescue Plan Act of 2021</w:t>
      </w:r>
      <w:r>
        <w:t xml:space="preserve"> (</w:t>
      </w:r>
      <w:r w:rsidRPr="00F07DFF">
        <w:t>ARPA</w:t>
      </w:r>
      <w:r>
        <w:t>).  ARPA provides $1.9 trillion of aid, slightly larger than the previous year’s most generous package, the</w:t>
      </w:r>
      <w:r w:rsidRPr="00757375">
        <w:t xml:space="preserve"> </w:t>
      </w:r>
      <w:r>
        <w:t>CARES</w:t>
      </w:r>
      <w:r w:rsidRPr="00757375">
        <w:t xml:space="preserve"> Act</w:t>
      </w:r>
      <w:r>
        <w:t xml:space="preserve"> of 2020, that provided $1.8 trillion.  ARPA, like the CARES Act, contains many provisions with tax ramifications that are discussed in this supplement.</w:t>
      </w:r>
    </w:p>
    <w:p w14:paraId="70D4FB60" w14:textId="77777777" w:rsidR="00371EE1" w:rsidRDefault="00371EE1" w:rsidP="00371EE1"/>
    <w:p w14:paraId="35BC863D" w14:textId="77777777" w:rsidR="00371EE1" w:rsidRDefault="00371EE1" w:rsidP="00371EE1">
      <w:r>
        <w:t xml:space="preserve">As we complete this document, President Biden released his 2022 tax proposal, </w:t>
      </w:r>
      <w:r w:rsidRPr="00914005">
        <w:t xml:space="preserve">the </w:t>
      </w:r>
      <w:r w:rsidRPr="00797318">
        <w:rPr>
          <w:i/>
          <w:iCs/>
        </w:rPr>
        <w:t xml:space="preserve">American Jobs </w:t>
      </w:r>
      <w:proofErr w:type="gramStart"/>
      <w:r w:rsidRPr="00797318">
        <w:rPr>
          <w:i/>
          <w:iCs/>
        </w:rPr>
        <w:t>Plan</w:t>
      </w:r>
      <w:proofErr w:type="gramEnd"/>
      <w:r w:rsidRPr="00797318">
        <w:rPr>
          <w:i/>
          <w:iCs/>
        </w:rPr>
        <w:t xml:space="preserve"> and the American Families Plan</w:t>
      </w:r>
      <w:r w:rsidRPr="00914005">
        <w:t>.</w:t>
      </w:r>
      <w:r>
        <w:t xml:space="preserve">  These proposals include: </w:t>
      </w:r>
    </w:p>
    <w:p w14:paraId="1C76AF73" w14:textId="77777777" w:rsidR="00371EE1" w:rsidRDefault="00371EE1" w:rsidP="00371EE1">
      <w:pPr>
        <w:tabs>
          <w:tab w:val="left" w:pos="540"/>
        </w:tabs>
        <w:ind w:left="540" w:hanging="540"/>
      </w:pPr>
      <w:r w:rsidRPr="0028110B">
        <w:t>(1)</w:t>
      </w:r>
      <w:r>
        <w:tab/>
      </w:r>
      <w:r w:rsidRPr="00E23501">
        <w:t>a return to the pre-TCJA top income tax rate of 39.6%</w:t>
      </w:r>
      <w:r>
        <w:t xml:space="preserve"> (for </w:t>
      </w:r>
      <w:r w:rsidRPr="00E23501">
        <w:t xml:space="preserve">2022, </w:t>
      </w:r>
      <w:r>
        <w:t>the proposed 39.6%</w:t>
      </w:r>
      <w:r w:rsidRPr="00E23501">
        <w:t xml:space="preserve"> rate would affect married filing joint taxpayers with taxable income over $509,300 (over $452,700 for single taxpayers, over $481,000 for heads of households, and over $254,650 for married filing separate</w:t>
      </w:r>
      <w:proofErr w:type="gramStart"/>
      <w:r w:rsidRPr="00E23501">
        <w:t>)</w:t>
      </w:r>
      <w:r>
        <w:t>;</w:t>
      </w:r>
      <w:proofErr w:type="gramEnd"/>
    </w:p>
    <w:p w14:paraId="103587BA" w14:textId="77777777" w:rsidR="00371EE1" w:rsidRDefault="00371EE1" w:rsidP="00371EE1">
      <w:pPr>
        <w:tabs>
          <w:tab w:val="left" w:pos="540"/>
        </w:tabs>
        <w:ind w:left="540" w:hanging="540"/>
      </w:pPr>
      <w:r w:rsidRPr="0028110B">
        <w:t>(</w:t>
      </w:r>
      <w:r>
        <w:t>2</w:t>
      </w:r>
      <w:r w:rsidRPr="0028110B">
        <w:t xml:space="preserve">) </w:t>
      </w:r>
      <w:r>
        <w:tab/>
      </w:r>
      <w:r w:rsidRPr="0028110B">
        <w:t xml:space="preserve">more generous child tax credits, </w:t>
      </w:r>
      <w:r>
        <w:t>expansion of the</w:t>
      </w:r>
      <w:r w:rsidRPr="0028110B">
        <w:t xml:space="preserve"> earned income tax credit</w:t>
      </w:r>
      <w:r>
        <w:t xml:space="preserve"> and the </w:t>
      </w:r>
      <w:r w:rsidRPr="0028110B">
        <w:t xml:space="preserve">child and dependent care tax credit, and more generous premium tax </w:t>
      </w:r>
      <w:proofErr w:type="gramStart"/>
      <w:r w:rsidRPr="0028110B">
        <w:t>credits;</w:t>
      </w:r>
      <w:proofErr w:type="gramEnd"/>
    </w:p>
    <w:p w14:paraId="70A49FD7" w14:textId="1293163D" w:rsidR="00371EE1" w:rsidRDefault="00371EE1" w:rsidP="00371EE1">
      <w:pPr>
        <w:tabs>
          <w:tab w:val="left" w:pos="540"/>
        </w:tabs>
        <w:ind w:left="540" w:hanging="540"/>
      </w:pPr>
      <w:r w:rsidRPr="0028110B">
        <w:t>(</w:t>
      </w:r>
      <w:r>
        <w:t>3</w:t>
      </w:r>
      <w:r w:rsidRPr="0028110B">
        <w:t>)</w:t>
      </w:r>
      <w:r>
        <w:tab/>
      </w:r>
      <w:r w:rsidR="00E737E0" w:rsidRPr="00E737E0">
        <w:t xml:space="preserve">taxing capital gains of high-income earners at ordinary rates to the extent income exceeds $1 million; increase the maximum tax on long-term capital gains and qualified dividends from 20% to the top rate on ordinary income (39.6%), which when factoring in the 3.8% net investment income tax, effectively raises the tax rate on long-term capital gains and qualified dividends to </w:t>
      </w:r>
      <w:proofErr w:type="gramStart"/>
      <w:r w:rsidR="00E737E0" w:rsidRPr="00E737E0">
        <w:t>43.4%;</w:t>
      </w:r>
      <w:proofErr w:type="gramEnd"/>
    </w:p>
    <w:p w14:paraId="769500ED" w14:textId="77777777" w:rsidR="00371EE1" w:rsidRDefault="00371EE1" w:rsidP="00371EE1">
      <w:pPr>
        <w:tabs>
          <w:tab w:val="left" w:pos="540"/>
        </w:tabs>
        <w:ind w:left="540" w:hanging="540"/>
      </w:pPr>
      <w:r>
        <w:t>(4)</w:t>
      </w:r>
      <w:r>
        <w:tab/>
        <w:t>elimination of</w:t>
      </w:r>
      <w:r w:rsidRPr="0028110B">
        <w:t xml:space="preserve"> the like-kind real estate preference for those with the highest incomes;</w:t>
      </w:r>
      <w:r>
        <w:t xml:space="preserve"> similarly </w:t>
      </w:r>
      <w:r w:rsidRPr="00914005">
        <w:t xml:space="preserve">caps the amount of gain that can be deferred in a like-kind exchange at $500,000 per taxpayer, per year ($1 million for </w:t>
      </w:r>
      <w:r>
        <w:t>joint return</w:t>
      </w:r>
      <w:proofErr w:type="gramStart"/>
      <w:r>
        <w:t>);</w:t>
      </w:r>
      <w:proofErr w:type="gramEnd"/>
    </w:p>
    <w:p w14:paraId="4D516DD2" w14:textId="77777777" w:rsidR="00371EE1" w:rsidRDefault="00371EE1" w:rsidP="00371EE1">
      <w:pPr>
        <w:tabs>
          <w:tab w:val="left" w:pos="540"/>
        </w:tabs>
        <w:ind w:left="540" w:hanging="540"/>
      </w:pPr>
      <w:r w:rsidRPr="0028110B">
        <w:t>(</w:t>
      </w:r>
      <w:r>
        <w:t>5</w:t>
      </w:r>
      <w:r w:rsidRPr="0028110B">
        <w:t>)</w:t>
      </w:r>
      <w:r>
        <w:tab/>
      </w:r>
      <w:r w:rsidRPr="0028110B">
        <w:t>treating certain transfers of appreciated property by gift or on death as realization events</w:t>
      </w:r>
      <w:r>
        <w:t xml:space="preserve"> (i.e., as if they sold the property transferred for its fair market value)</w:t>
      </w:r>
      <w:r w:rsidRPr="0028110B">
        <w:t xml:space="preserve">; </w:t>
      </w:r>
      <w:r>
        <w:t>t</w:t>
      </w:r>
      <w:r w:rsidRPr="00ED3240">
        <w:t xml:space="preserve">axpayers would have a $1 million (adjusted for inflation after 2022) per-person exemption available. The proposed change would be </w:t>
      </w:r>
      <w:r w:rsidRPr="00ED3240">
        <w:lastRenderedPageBreak/>
        <w:t xml:space="preserve">effective for property transferred by gift after 12/31/2021, and for property owned at death by decedents dying after that </w:t>
      </w:r>
      <w:proofErr w:type="gramStart"/>
      <w:r w:rsidRPr="00ED3240">
        <w:t>date</w:t>
      </w:r>
      <w:r>
        <w:t>;</w:t>
      </w:r>
      <w:proofErr w:type="gramEnd"/>
    </w:p>
    <w:p w14:paraId="47EEF684" w14:textId="77777777" w:rsidR="00371EE1" w:rsidRDefault="00371EE1" w:rsidP="00371EE1">
      <w:pPr>
        <w:tabs>
          <w:tab w:val="left" w:pos="540"/>
        </w:tabs>
        <w:ind w:left="540" w:hanging="540"/>
      </w:pPr>
      <w:r>
        <w:t>(6)</w:t>
      </w:r>
      <w:r>
        <w:tab/>
        <w:t>t</w:t>
      </w:r>
      <w:r w:rsidRPr="00914005">
        <w:t xml:space="preserve">ax </w:t>
      </w:r>
      <w:r>
        <w:t>a</w:t>
      </w:r>
      <w:r w:rsidRPr="00914005">
        <w:t xml:space="preserve">ppreciation on </w:t>
      </w:r>
      <w:r>
        <w:t>c</w:t>
      </w:r>
      <w:r w:rsidRPr="00914005">
        <w:t xml:space="preserve">ertain </w:t>
      </w:r>
      <w:r>
        <w:t>a</w:t>
      </w:r>
      <w:r w:rsidRPr="00914005">
        <w:t xml:space="preserve">ssets </w:t>
      </w:r>
      <w:r>
        <w:t xml:space="preserve">held in a trust, partnership or other noncorporate entity.  </w:t>
      </w:r>
      <w:r w:rsidRPr="00914005">
        <w:t xml:space="preserve"> An entity would be subject to tax if the assets it holds have not been subject to a recognition event within the prior 90 years. The 90-year period begins 1/1/1940, making 12/31/2030 the earliest date that a taxpayer might have to recognize gain in this situation.</w:t>
      </w:r>
    </w:p>
    <w:p w14:paraId="35740F01" w14:textId="77777777" w:rsidR="00371EE1" w:rsidRDefault="00371EE1" w:rsidP="00371EE1">
      <w:pPr>
        <w:tabs>
          <w:tab w:val="left" w:pos="540"/>
        </w:tabs>
        <w:ind w:left="540" w:hanging="540"/>
      </w:pPr>
      <w:r>
        <w:t>(7)</w:t>
      </w:r>
      <w:r>
        <w:tab/>
        <w:t xml:space="preserve">increasing the rates on C corporations from 21% to 28% as well as a 15% minimum tax on corporations with book income of more than $2 </w:t>
      </w:r>
      <w:proofErr w:type="gramStart"/>
      <w:r>
        <w:t>billion</w:t>
      </w:r>
      <w:r w:rsidRPr="0028110B">
        <w:t>;</w:t>
      </w:r>
      <w:proofErr w:type="gramEnd"/>
    </w:p>
    <w:p w14:paraId="4070662A" w14:textId="77777777" w:rsidR="00371EE1" w:rsidRDefault="00371EE1" w:rsidP="00371EE1">
      <w:pPr>
        <w:tabs>
          <w:tab w:val="left" w:pos="540"/>
        </w:tabs>
        <w:ind w:left="540" w:hanging="540"/>
      </w:pPr>
      <w:r w:rsidRPr="0028110B">
        <w:t>(</w:t>
      </w:r>
      <w:r>
        <w:t>8</w:t>
      </w:r>
      <w:r w:rsidRPr="0028110B">
        <w:t xml:space="preserve">) </w:t>
      </w:r>
      <w:r>
        <w:tab/>
      </w:r>
      <w:r w:rsidRPr="0028110B">
        <w:t xml:space="preserve">eliminating all fossil fuel tax </w:t>
      </w:r>
      <w:proofErr w:type="gramStart"/>
      <w:r w:rsidRPr="0028110B">
        <w:t>subsidies;</w:t>
      </w:r>
      <w:proofErr w:type="gramEnd"/>
      <w:r w:rsidRPr="0028110B">
        <w:t xml:space="preserve"> </w:t>
      </w:r>
    </w:p>
    <w:p w14:paraId="330C3A11" w14:textId="77777777" w:rsidR="00371EE1" w:rsidRDefault="00371EE1" w:rsidP="00371EE1">
      <w:pPr>
        <w:tabs>
          <w:tab w:val="left" w:pos="540"/>
        </w:tabs>
        <w:ind w:left="540" w:hanging="540"/>
      </w:pPr>
      <w:r w:rsidRPr="0028110B">
        <w:t>(</w:t>
      </w:r>
      <w:r>
        <w:t>9</w:t>
      </w:r>
      <w:r w:rsidRPr="0028110B">
        <w:t xml:space="preserve">) </w:t>
      </w:r>
      <w:r>
        <w:tab/>
      </w:r>
      <w:r w:rsidRPr="0028110B">
        <w:t xml:space="preserve">expanding tax incentives that encourage clean energy sources. The document is available online at </w:t>
      </w:r>
      <w:hyperlink r:id="rId8" w:history="1">
        <w:r w:rsidRPr="000276B4">
          <w:rPr>
            <w:rStyle w:val="Hyperlink"/>
          </w:rPr>
          <w:t>https://home.treasury.gov/policy-issues/tax-policy/revenue-proposals</w:t>
        </w:r>
      </w:hyperlink>
      <w:r w:rsidRPr="0028110B">
        <w:t xml:space="preserve"> </w:t>
      </w:r>
    </w:p>
    <w:p w14:paraId="771C6BB9" w14:textId="77777777" w:rsidR="00371EE1" w:rsidRDefault="00371EE1" w:rsidP="00371EE1">
      <w:pPr>
        <w:tabs>
          <w:tab w:val="left" w:pos="540"/>
        </w:tabs>
        <w:ind w:left="540" w:hanging="540"/>
      </w:pPr>
      <w:r>
        <w:t>(10)</w:t>
      </w:r>
      <w:r>
        <w:tab/>
      </w:r>
      <w:r w:rsidRPr="00E23501">
        <w:t xml:space="preserve">creation of a new general business credit of up to 10% of the eligible cost of </w:t>
      </w:r>
      <w:r w:rsidRPr="00374B40">
        <w:rPr>
          <w:i/>
          <w:iCs/>
        </w:rPr>
        <w:t>onshoring</w:t>
      </w:r>
      <w:r w:rsidRPr="00E23501">
        <w:t xml:space="preserve"> a trade or business</w:t>
      </w:r>
      <w:r>
        <w:t xml:space="preserve"> (onshoring refers to r</w:t>
      </w:r>
      <w:r w:rsidRPr="00E23501">
        <w:t xml:space="preserve">educing or eliminating a trade or business (or a line of business) currently conducted outside the U.S. and starting up, expanding, or otherwise moving the same trade or business to the U.S. and creating jobs in the </w:t>
      </w:r>
      <w:proofErr w:type="gramStart"/>
      <w:r w:rsidRPr="00E23501">
        <w:t>process</w:t>
      </w:r>
      <w:r>
        <w:t>;</w:t>
      </w:r>
      <w:proofErr w:type="gramEnd"/>
      <w:r>
        <w:t xml:space="preserve"> </w:t>
      </w:r>
    </w:p>
    <w:p w14:paraId="52DEC13B" w14:textId="77777777" w:rsidR="00371EE1" w:rsidRPr="00057DFC" w:rsidRDefault="00371EE1" w:rsidP="00371EE1">
      <w:pPr>
        <w:rPr>
          <w:sz w:val="20"/>
          <w:szCs w:val="16"/>
          <w:highlight w:val="yellow"/>
        </w:rPr>
      </w:pPr>
    </w:p>
    <w:p w14:paraId="67A309D2" w14:textId="77777777" w:rsidR="00371EE1" w:rsidRDefault="00371EE1" w:rsidP="00371EE1">
      <w:pPr>
        <w:ind w:left="360" w:hanging="360"/>
      </w:pPr>
      <w:r>
        <w:t>As always, as new legislation is enacted, we will do our best to provide a timely supplement.</w:t>
      </w:r>
    </w:p>
    <w:p w14:paraId="74BCAF67" w14:textId="77777777" w:rsidR="00371EE1" w:rsidRDefault="00371EE1" w:rsidP="00371EE1"/>
    <w:p w14:paraId="31379783" w14:textId="77777777" w:rsidR="00371EE1" w:rsidRPr="00CE5056" w:rsidRDefault="00371EE1" w:rsidP="00371EE1">
      <w:pPr>
        <w:rPr>
          <w:szCs w:val="24"/>
        </w:rPr>
      </w:pPr>
      <w:r w:rsidRPr="00CE5056">
        <w:rPr>
          <w:b/>
          <w:szCs w:val="24"/>
        </w:rPr>
        <w:t xml:space="preserve">Table of Contents.  </w:t>
      </w:r>
      <w:r w:rsidRPr="00CE5056">
        <w:rPr>
          <w:szCs w:val="24"/>
        </w:rPr>
        <w:t xml:space="preserve">The changes </w:t>
      </w:r>
      <w:r>
        <w:rPr>
          <w:szCs w:val="24"/>
        </w:rPr>
        <w:t xml:space="preserve">made by the recent legislation </w:t>
      </w:r>
      <w:r w:rsidRPr="00CE5056">
        <w:rPr>
          <w:szCs w:val="24"/>
        </w:rPr>
        <w:t xml:space="preserve">are discussed in the following pages and are referenced to the 2022 edition by chapter and page.  A Table of Contents can be found on </w:t>
      </w:r>
      <w:r w:rsidRPr="00A66B94">
        <w:rPr>
          <w:b/>
          <w:bCs/>
          <w:szCs w:val="24"/>
        </w:rPr>
        <w:t>page 5</w:t>
      </w:r>
      <w:r w:rsidRPr="00CE5056">
        <w:rPr>
          <w:szCs w:val="24"/>
        </w:rPr>
        <w:t xml:space="preserve"> of this supplement. </w:t>
      </w:r>
    </w:p>
    <w:p w14:paraId="3CBC38AF" w14:textId="77777777" w:rsidR="00371EE1" w:rsidRPr="00CE5056" w:rsidRDefault="00371EE1" w:rsidP="00371EE1">
      <w:pPr>
        <w:rPr>
          <w:szCs w:val="24"/>
        </w:rPr>
      </w:pPr>
    </w:p>
    <w:p w14:paraId="1BD75EFA" w14:textId="77777777" w:rsidR="00371EE1" w:rsidRDefault="00371EE1" w:rsidP="00371EE1">
      <w:pPr>
        <w:rPr>
          <w:szCs w:val="24"/>
        </w:rPr>
      </w:pPr>
      <w:r w:rsidRPr="00CE5056">
        <w:rPr>
          <w:b/>
          <w:szCs w:val="24"/>
        </w:rPr>
        <w:t xml:space="preserve">Special Thank You:  </w:t>
      </w:r>
      <w:r w:rsidRPr="00CE5056">
        <w:rPr>
          <w:szCs w:val="24"/>
        </w:rPr>
        <w:t xml:space="preserve">The editors would like to acknowledge and thank Professors Jim Angelini of Suffolk University and Ramon Fernandez of </w:t>
      </w:r>
      <w:r>
        <w:rPr>
          <w:szCs w:val="24"/>
        </w:rPr>
        <w:t xml:space="preserve">the </w:t>
      </w:r>
      <w:r w:rsidRPr="00CE5056">
        <w:rPr>
          <w:szCs w:val="24"/>
        </w:rPr>
        <w:t>University</w:t>
      </w:r>
      <w:r w:rsidRPr="00BA68CA">
        <w:rPr>
          <w:szCs w:val="24"/>
        </w:rPr>
        <w:t xml:space="preserve"> </w:t>
      </w:r>
      <w:r>
        <w:rPr>
          <w:szCs w:val="24"/>
        </w:rPr>
        <w:t xml:space="preserve">of </w:t>
      </w:r>
      <w:r w:rsidRPr="00CE5056">
        <w:rPr>
          <w:szCs w:val="24"/>
        </w:rPr>
        <w:t>St. Thomas</w:t>
      </w:r>
      <w:r>
        <w:rPr>
          <w:szCs w:val="24"/>
        </w:rPr>
        <w:t>-Houston</w:t>
      </w:r>
      <w:r w:rsidRPr="00CE5056">
        <w:rPr>
          <w:szCs w:val="24"/>
        </w:rPr>
        <w:t xml:space="preserve">.  Their thoughtful insights and comments helped not only us, but hopefully you, gain a better understanding of how this new legislation with </w:t>
      </w:r>
      <w:proofErr w:type="gramStart"/>
      <w:r w:rsidRPr="00CE5056">
        <w:rPr>
          <w:szCs w:val="24"/>
        </w:rPr>
        <w:t>all of</w:t>
      </w:r>
      <w:proofErr w:type="gramEnd"/>
      <w:r w:rsidRPr="00CE5056">
        <w:rPr>
          <w:szCs w:val="24"/>
        </w:rPr>
        <w:t xml:space="preserve"> its complications affects individuals and businesses.</w:t>
      </w:r>
      <w:r w:rsidRPr="00EC3E20">
        <w:rPr>
          <w:szCs w:val="24"/>
        </w:rPr>
        <w:t xml:space="preserve"> </w:t>
      </w:r>
    </w:p>
    <w:p w14:paraId="306368A6" w14:textId="77777777" w:rsidR="00371EE1" w:rsidRDefault="00371EE1" w:rsidP="00371EE1">
      <w:pPr>
        <w:rPr>
          <w:szCs w:val="24"/>
        </w:rPr>
      </w:pPr>
    </w:p>
    <w:p w14:paraId="6D558B3A" w14:textId="77777777" w:rsidR="00414E21" w:rsidRPr="00844354" w:rsidRDefault="00414E21" w:rsidP="00414E21">
      <w:pPr>
        <w:jc w:val="center"/>
        <w:rPr>
          <w:sz w:val="24"/>
          <w:szCs w:val="24"/>
        </w:rPr>
      </w:pPr>
      <w:r>
        <w:rPr>
          <w:sz w:val="28"/>
          <w:szCs w:val="26"/>
        </w:rPr>
        <w:br w:type="column"/>
      </w:r>
      <w:r w:rsidRPr="00844354">
        <w:rPr>
          <w:sz w:val="24"/>
          <w:szCs w:val="24"/>
        </w:rPr>
        <w:lastRenderedPageBreak/>
        <w:t>Tax Highlights of the</w:t>
      </w:r>
    </w:p>
    <w:p w14:paraId="05CB2F61" w14:textId="77777777" w:rsidR="00414E21" w:rsidRPr="00237E0F" w:rsidRDefault="00414E21" w:rsidP="00414E21">
      <w:pPr>
        <w:spacing w:line="180" w:lineRule="atLeast"/>
        <w:jc w:val="center"/>
        <w:rPr>
          <w:i/>
          <w:sz w:val="18"/>
          <w:szCs w:val="26"/>
        </w:rPr>
      </w:pPr>
    </w:p>
    <w:p w14:paraId="7F66BBBC" w14:textId="77777777" w:rsidR="00371EE1" w:rsidRPr="00CE5056" w:rsidRDefault="00371EE1" w:rsidP="00371EE1">
      <w:pPr>
        <w:spacing w:line="60" w:lineRule="atLeast"/>
        <w:jc w:val="center"/>
        <w:rPr>
          <w:i/>
          <w:sz w:val="16"/>
          <w:szCs w:val="24"/>
        </w:rPr>
      </w:pPr>
    </w:p>
    <w:p w14:paraId="233D1A9A" w14:textId="77777777" w:rsidR="00371EE1" w:rsidRPr="00F07DFF" w:rsidRDefault="00371EE1" w:rsidP="00371EE1">
      <w:pPr>
        <w:spacing w:after="60" w:line="60" w:lineRule="atLeast"/>
        <w:jc w:val="center"/>
        <w:rPr>
          <w:i/>
          <w:szCs w:val="22"/>
        </w:rPr>
      </w:pPr>
      <w:r w:rsidRPr="00CE5056">
        <w:rPr>
          <w:i/>
          <w:szCs w:val="22"/>
        </w:rPr>
        <w:t xml:space="preserve">Coronavirus Preparedness and Response Supplemental Appropriations Act </w:t>
      </w:r>
      <w:r w:rsidRPr="00CE5056">
        <w:rPr>
          <w:szCs w:val="22"/>
        </w:rPr>
        <w:t>(P.L. 116-123, 3/6/2020)</w:t>
      </w:r>
    </w:p>
    <w:p w14:paraId="7A3250CC" w14:textId="77777777" w:rsidR="00371EE1" w:rsidRPr="00CE5056" w:rsidRDefault="00371EE1" w:rsidP="00371EE1">
      <w:pPr>
        <w:spacing w:after="60" w:line="60" w:lineRule="atLeast"/>
        <w:jc w:val="center"/>
        <w:rPr>
          <w:szCs w:val="22"/>
        </w:rPr>
      </w:pPr>
      <w:r w:rsidRPr="00CE5056">
        <w:rPr>
          <w:i/>
          <w:iCs/>
          <w:szCs w:val="22"/>
        </w:rPr>
        <w:t xml:space="preserve">Families First Coronavirus Response Act </w:t>
      </w:r>
      <w:r w:rsidRPr="00CE5056">
        <w:rPr>
          <w:szCs w:val="22"/>
        </w:rPr>
        <w:t xml:space="preserve"> (P.L. 116-127, 3/18/20)</w:t>
      </w:r>
    </w:p>
    <w:p w14:paraId="77528D8E" w14:textId="77777777" w:rsidR="00371EE1" w:rsidRPr="00F07DFF" w:rsidRDefault="00371EE1" w:rsidP="00371EE1">
      <w:pPr>
        <w:spacing w:after="60" w:line="60" w:lineRule="atLeast"/>
        <w:jc w:val="center"/>
        <w:rPr>
          <w:szCs w:val="22"/>
        </w:rPr>
      </w:pPr>
      <w:r w:rsidRPr="00CE5056">
        <w:rPr>
          <w:i/>
          <w:iCs/>
          <w:szCs w:val="22"/>
        </w:rPr>
        <w:t xml:space="preserve">Coronavirus Aid, Relief, and Economic Security Act </w:t>
      </w:r>
      <w:r w:rsidRPr="00CE5056">
        <w:rPr>
          <w:szCs w:val="22"/>
        </w:rPr>
        <w:t>(P.L. 116-136, 3/27/20),</w:t>
      </w:r>
    </w:p>
    <w:p w14:paraId="350D6CB5" w14:textId="77777777" w:rsidR="00371EE1" w:rsidRPr="00CE5056" w:rsidRDefault="00371EE1" w:rsidP="00371EE1">
      <w:pPr>
        <w:spacing w:after="60" w:line="60" w:lineRule="atLeast"/>
        <w:jc w:val="center"/>
        <w:rPr>
          <w:szCs w:val="22"/>
        </w:rPr>
      </w:pPr>
      <w:r w:rsidRPr="00CE5056">
        <w:rPr>
          <w:i/>
          <w:iCs/>
          <w:szCs w:val="22"/>
        </w:rPr>
        <w:t>Paycheck Protection Program and Health Care Enhancement Act</w:t>
      </w:r>
      <w:r w:rsidRPr="00CE5056">
        <w:rPr>
          <w:i/>
          <w:szCs w:val="22"/>
        </w:rPr>
        <w:t xml:space="preserve"> </w:t>
      </w:r>
      <w:r w:rsidRPr="00CE5056">
        <w:rPr>
          <w:szCs w:val="22"/>
        </w:rPr>
        <w:t>(P.L. 116-139, 4/24/20)</w:t>
      </w:r>
    </w:p>
    <w:p w14:paraId="5F1039CA" w14:textId="77777777" w:rsidR="00371EE1" w:rsidRPr="00CE5056" w:rsidRDefault="00371EE1" w:rsidP="00371EE1">
      <w:pPr>
        <w:spacing w:after="60" w:line="60" w:lineRule="atLeast"/>
        <w:jc w:val="center"/>
        <w:rPr>
          <w:szCs w:val="22"/>
        </w:rPr>
      </w:pPr>
      <w:r w:rsidRPr="00CE5056">
        <w:rPr>
          <w:i/>
          <w:iCs/>
          <w:szCs w:val="22"/>
        </w:rPr>
        <w:t>Paycheck Protection Program Flexibility Act</w:t>
      </w:r>
      <w:r w:rsidRPr="00CE5056">
        <w:rPr>
          <w:i/>
          <w:szCs w:val="22"/>
        </w:rPr>
        <w:t xml:space="preserve"> </w:t>
      </w:r>
      <w:r w:rsidRPr="00CE5056">
        <w:rPr>
          <w:szCs w:val="22"/>
        </w:rPr>
        <w:t>(P.L. 116-142, 6/5/20)</w:t>
      </w:r>
    </w:p>
    <w:p w14:paraId="0C85D2A7" w14:textId="77777777" w:rsidR="00371EE1" w:rsidRPr="00F07DFF" w:rsidRDefault="00371EE1" w:rsidP="00371EE1">
      <w:pPr>
        <w:spacing w:after="60" w:line="60" w:lineRule="atLeast"/>
        <w:jc w:val="center"/>
        <w:rPr>
          <w:szCs w:val="22"/>
        </w:rPr>
      </w:pPr>
      <w:r w:rsidRPr="00CE5056">
        <w:rPr>
          <w:i/>
          <w:szCs w:val="22"/>
        </w:rPr>
        <w:t xml:space="preserve">Consolidated Appropriations Act of 2021 </w:t>
      </w:r>
      <w:r w:rsidRPr="00CE5056">
        <w:rPr>
          <w:szCs w:val="22"/>
        </w:rPr>
        <w:t>(P.L. 116-260, 12/27/20)</w:t>
      </w:r>
    </w:p>
    <w:p w14:paraId="04EF0319" w14:textId="77777777" w:rsidR="00371EE1" w:rsidRPr="00CE5056" w:rsidRDefault="00371EE1" w:rsidP="00371EE1">
      <w:pPr>
        <w:spacing w:after="60" w:line="60" w:lineRule="atLeast"/>
        <w:jc w:val="center"/>
        <w:rPr>
          <w:i/>
          <w:iCs/>
          <w:szCs w:val="22"/>
        </w:rPr>
      </w:pPr>
      <w:r w:rsidRPr="00CE5056">
        <w:rPr>
          <w:i/>
          <w:iCs/>
          <w:szCs w:val="22"/>
        </w:rPr>
        <w:t xml:space="preserve">American Rescue Plan Act of 2021 </w:t>
      </w:r>
      <w:r w:rsidRPr="00CE5056">
        <w:rPr>
          <w:szCs w:val="22"/>
        </w:rPr>
        <w:t>(P.L. 117 1, 3/11/2021)</w:t>
      </w:r>
      <w:r w:rsidRPr="00CE5056">
        <w:rPr>
          <w:i/>
          <w:iCs/>
          <w:szCs w:val="22"/>
        </w:rPr>
        <w:t xml:space="preserve"> </w:t>
      </w:r>
    </w:p>
    <w:p w14:paraId="627AE802" w14:textId="77777777" w:rsidR="00371EE1" w:rsidRDefault="00371EE1" w:rsidP="00371EE1">
      <w:pPr>
        <w:rPr>
          <w:szCs w:val="24"/>
        </w:rPr>
      </w:pPr>
    </w:p>
    <w:p w14:paraId="605692EC" w14:textId="5C632478" w:rsidR="00371EE1" w:rsidRDefault="00371EE1" w:rsidP="00371EE1">
      <w:pPr>
        <w:rPr>
          <w:sz w:val="20"/>
          <w:szCs w:val="24"/>
        </w:rPr>
      </w:pPr>
      <w:r>
        <w:rPr>
          <w:szCs w:val="24"/>
        </w:rPr>
        <w:t>The</w:t>
      </w:r>
      <w:r w:rsidRPr="009342CB">
        <w:rPr>
          <w:szCs w:val="24"/>
        </w:rPr>
        <w:t xml:space="preserve"> </w:t>
      </w:r>
      <w:r>
        <w:rPr>
          <w:szCs w:val="24"/>
        </w:rPr>
        <w:t>legislation above</w:t>
      </w:r>
      <w:r w:rsidRPr="009342CB">
        <w:rPr>
          <w:szCs w:val="24"/>
        </w:rPr>
        <w:t xml:space="preserve"> </w:t>
      </w:r>
      <w:r>
        <w:rPr>
          <w:szCs w:val="24"/>
        </w:rPr>
        <w:t>made</w:t>
      </w:r>
      <w:r w:rsidRPr="009342CB">
        <w:rPr>
          <w:szCs w:val="24"/>
        </w:rPr>
        <w:t xml:space="preserve"> </w:t>
      </w:r>
      <w:r>
        <w:rPr>
          <w:szCs w:val="24"/>
        </w:rPr>
        <w:t>numerous</w:t>
      </w:r>
      <w:r w:rsidRPr="009342CB">
        <w:rPr>
          <w:szCs w:val="24"/>
        </w:rPr>
        <w:t xml:space="preserve"> changes designed to provide relief to individuals and businesses affected by the coronavirus pandemic.  </w:t>
      </w:r>
      <w:r>
        <w:rPr>
          <w:szCs w:val="24"/>
        </w:rPr>
        <w:t xml:space="preserve">Many have tax ramifications.  </w:t>
      </w:r>
      <w:r w:rsidRPr="009342CB">
        <w:rPr>
          <w:szCs w:val="24"/>
        </w:rPr>
        <w:t>The legislation</w:t>
      </w:r>
      <w:r w:rsidRPr="009342CB">
        <w:rPr>
          <w:sz w:val="20"/>
          <w:szCs w:val="24"/>
        </w:rPr>
        <w:t>:</w:t>
      </w:r>
    </w:p>
    <w:p w14:paraId="744F5474"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pPr>
      <w:r w:rsidRPr="009342CB">
        <w:t>Establishes the Paycheck Protection Program that provides federal loans to help struggling businesses.  Moreover, in most cases, businesses are not required to repay these loans.  Additional funding was provided by the Enhancement Act.</w:t>
      </w:r>
      <w:r>
        <w:t xml:space="preserve">  </w:t>
      </w:r>
      <w:r w:rsidRPr="00CE5056">
        <w:t>ARPA</w:t>
      </w:r>
      <w:r>
        <w:t xml:space="preserve"> made it clear that expenses paid with these are deductible notwithstanding the fact they are paid with tax-exempt funds.</w:t>
      </w:r>
    </w:p>
    <w:p w14:paraId="2267D57C"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pPr>
      <w:r w:rsidRPr="009342CB">
        <w:t>Reduces or eliminates payroll taxes for businesses (i.e., their share of FICA).  Any employer</w:t>
      </w:r>
      <w:r>
        <w:t>,</w:t>
      </w:r>
      <w:r w:rsidRPr="009342CB">
        <w:t xml:space="preserve"> self-employed individual </w:t>
      </w:r>
      <w:r>
        <w:t>or</w:t>
      </w:r>
      <w:r w:rsidRPr="009342CB">
        <w:t xml:space="preserve"> nonprofit whose </w:t>
      </w:r>
      <w:r>
        <w:t>activity</w:t>
      </w:r>
      <w:r w:rsidRPr="009342CB">
        <w:t xml:space="preserve"> was fully or partially suspended in 2020 due to government orders associated with COVID-19 or that experienced a significant decline in gross receipts may be eligible for relief.  </w:t>
      </w:r>
      <w:r>
        <w:t>The CARES</w:t>
      </w:r>
      <w:r w:rsidRPr="009342CB">
        <w:t xml:space="preserve"> Act creates an </w:t>
      </w:r>
      <w:r>
        <w:t>employee</w:t>
      </w:r>
      <w:r w:rsidRPr="009342CB">
        <w:t xml:space="preserve"> retention credit of as much as $5,000 per employee to offset payroll tax costs (i.e., the 6.2% tax on wages or self-employment income) paid after March 12, 2020, and before January 1, 2021.  If the credit amount exceeds the employer’s liability, the excess is refundable to the employer.  </w:t>
      </w:r>
      <w:r>
        <w:t>The estimated</w:t>
      </w:r>
      <w:r w:rsidRPr="009342CB">
        <w:t xml:space="preserve"> benefit </w:t>
      </w:r>
      <w:r>
        <w:t>was</w:t>
      </w:r>
      <w:r w:rsidRPr="009342CB">
        <w:t xml:space="preserve"> about $54.6 billion.</w:t>
      </w:r>
      <w:r>
        <w:t xml:space="preserve"> The credit is not available for 2021.</w:t>
      </w:r>
    </w:p>
    <w:p w14:paraId="0475CCE5"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pPr>
      <w:r w:rsidRPr="009342CB">
        <w:t>Requires businesses to make sick and family leave payments for up to 10 weeks.  Exceptions exist for businesses that have (1) more than 500 employees or (2) 50 or fewer employees.</w:t>
      </w:r>
    </w:p>
    <w:p w14:paraId="36420E50"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Allows penalty-free access to retirement accounts if for virus-related financial hardships.</w:t>
      </w:r>
    </w:p>
    <w:p w14:paraId="1F2BD17B"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Provides that employer payments of student loans of their employees are nontaxable.</w:t>
      </w:r>
    </w:p>
    <w:p w14:paraId="6F101AEC"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Pr>
          <w:szCs w:val="24"/>
        </w:rPr>
        <w:t>Gives</w:t>
      </w:r>
      <w:r w:rsidRPr="009342CB">
        <w:rPr>
          <w:szCs w:val="24"/>
        </w:rPr>
        <w:t xml:space="preserve"> </w:t>
      </w:r>
      <w:r>
        <w:rPr>
          <w:szCs w:val="24"/>
        </w:rPr>
        <w:t xml:space="preserve">nonitemizers </w:t>
      </w:r>
      <w:r w:rsidRPr="009342CB">
        <w:rPr>
          <w:szCs w:val="24"/>
        </w:rPr>
        <w:t xml:space="preserve">a charitable deduction of up to $300 (i.e., </w:t>
      </w:r>
      <w:r>
        <w:rPr>
          <w:szCs w:val="24"/>
        </w:rPr>
        <w:t>for AGI</w:t>
      </w:r>
      <w:r w:rsidRPr="009342CB">
        <w:rPr>
          <w:szCs w:val="24"/>
        </w:rPr>
        <w:t xml:space="preserve"> </w:t>
      </w:r>
      <w:r>
        <w:rPr>
          <w:szCs w:val="24"/>
        </w:rPr>
        <w:t>in 2020 but a deduction of up to $600 from taxable income in 2021</w:t>
      </w:r>
      <w:r w:rsidRPr="009342CB">
        <w:rPr>
          <w:szCs w:val="24"/>
        </w:rPr>
        <w:t>).</w:t>
      </w:r>
    </w:p>
    <w:p w14:paraId="57E5B543"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Suspends the required minimum distribution (RMD) rules for retirement plans for 2020.</w:t>
      </w:r>
    </w:p>
    <w:p w14:paraId="2267A9FA"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 xml:space="preserve">Allows taxpayers to withdraw up to $100,000 from retirement plans without the 10% additional tax penalty for early distributions if they are </w:t>
      </w:r>
      <w:proofErr w:type="gramStart"/>
      <w:r w:rsidRPr="009342CB">
        <w:rPr>
          <w:szCs w:val="24"/>
        </w:rPr>
        <w:t>coronavirus-related</w:t>
      </w:r>
      <w:proofErr w:type="gramEnd"/>
      <w:r w:rsidRPr="009342CB">
        <w:rPr>
          <w:szCs w:val="24"/>
        </w:rPr>
        <w:t>.</w:t>
      </w:r>
    </w:p>
    <w:p w14:paraId="7DF09F1A"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Temporarily suspends the 80% taxable income limitation for NOLs.</w:t>
      </w:r>
    </w:p>
    <w:p w14:paraId="1314ACFF"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Eliminates the carryforward rule for NOLs arising in 2018, 2019, and 2020 so they can be carried back to the five previous tax years to provide immediate relief.</w:t>
      </w:r>
    </w:p>
    <w:p w14:paraId="1B3D728E"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Suspends the excess business loss rules.</w:t>
      </w:r>
    </w:p>
    <w:p w14:paraId="1F6062BE"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Accelerates refunds of previously generated corporate alternative minimum tax credits.</w:t>
      </w:r>
    </w:p>
    <w:p w14:paraId="4FB8CC7E"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 xml:space="preserve">Relaxes the business interest limitation of §163(j), increasing it from 30% to 50% of income. </w:t>
      </w:r>
    </w:p>
    <w:p w14:paraId="7F89E3D2"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rFonts w:ascii="ArialMT" w:hAnsi="ArialMT" w:cs="ArialMT"/>
          <w:szCs w:val="22"/>
        </w:rPr>
      </w:pPr>
      <w:r w:rsidRPr="009342CB">
        <w:rPr>
          <w:szCs w:val="24"/>
        </w:rPr>
        <w:t>Makes a technical correction so that “qualified improvement property” (QIP) is now properly classified as MACRS 15-year assets and, therefore, eligible for 100% bonus depreciation.</w:t>
      </w:r>
    </w:p>
    <w:p w14:paraId="67F5FEA0"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rPr>
          <w:szCs w:val="24"/>
        </w:rPr>
        <w:t xml:space="preserve">Provides an “employee retention credit” to encourage employers to </w:t>
      </w:r>
      <w:r>
        <w:rPr>
          <w:szCs w:val="24"/>
        </w:rPr>
        <w:t>retain employees</w:t>
      </w:r>
      <w:r w:rsidRPr="009342CB">
        <w:rPr>
          <w:szCs w:val="24"/>
        </w:rPr>
        <w:t xml:space="preserve"> even if employees cannot report to work because of issues related to the coronavirus.</w:t>
      </w:r>
    </w:p>
    <w:p w14:paraId="63362C65" w14:textId="77777777" w:rsidR="00371EE1" w:rsidRPr="009342CB" w:rsidRDefault="00371EE1" w:rsidP="00371EE1">
      <w:pPr>
        <w:numPr>
          <w:ilvl w:val="0"/>
          <w:numId w:val="13"/>
        </w:numPr>
        <w:overflowPunct/>
        <w:autoSpaceDE/>
        <w:autoSpaceDN/>
        <w:adjustRightInd/>
        <w:spacing w:before="120"/>
        <w:ind w:left="360"/>
        <w:contextualSpacing/>
        <w:jc w:val="both"/>
        <w:textAlignment w:val="auto"/>
        <w:rPr>
          <w:szCs w:val="24"/>
        </w:rPr>
      </w:pPr>
      <w:r w:rsidRPr="009342CB">
        <w:t>Includes a variety of non-tax provisions to a</w:t>
      </w:r>
      <w:r w:rsidRPr="009342CB">
        <w:rPr>
          <w:szCs w:val="24"/>
        </w:rPr>
        <w:t>ssist with mitigation and response as follows:</w:t>
      </w:r>
    </w:p>
    <w:p w14:paraId="30520A97" w14:textId="77777777" w:rsidR="00371EE1" w:rsidRPr="005726E6" w:rsidRDefault="00371EE1" w:rsidP="00371EE1">
      <w:pPr>
        <w:numPr>
          <w:ilvl w:val="0"/>
          <w:numId w:val="13"/>
        </w:numPr>
        <w:overflowPunct/>
        <w:autoSpaceDE/>
        <w:autoSpaceDN/>
        <w:adjustRightInd/>
        <w:spacing w:before="120"/>
        <w:contextualSpacing/>
        <w:jc w:val="both"/>
        <w:textAlignment w:val="auto"/>
        <w:rPr>
          <w:szCs w:val="24"/>
        </w:rPr>
      </w:pPr>
      <w:r w:rsidRPr="005726E6">
        <w:rPr>
          <w:szCs w:val="24"/>
        </w:rPr>
        <w:t>Expansion of unemployment benefits; funding for health care providers; aid to state and local governments</w:t>
      </w:r>
    </w:p>
    <w:p w14:paraId="566D0BE9" w14:textId="77777777" w:rsidR="00371EE1" w:rsidRPr="009342CB" w:rsidRDefault="00371EE1" w:rsidP="00371EE1">
      <w:pPr>
        <w:numPr>
          <w:ilvl w:val="0"/>
          <w:numId w:val="13"/>
        </w:numPr>
        <w:tabs>
          <w:tab w:val="num" w:pos="720"/>
        </w:tabs>
        <w:overflowPunct/>
        <w:autoSpaceDE/>
        <w:autoSpaceDN/>
        <w:adjustRightInd/>
        <w:spacing w:before="120"/>
        <w:contextualSpacing/>
        <w:jc w:val="both"/>
        <w:textAlignment w:val="auto"/>
        <w:rPr>
          <w:szCs w:val="24"/>
        </w:rPr>
      </w:pPr>
      <w:r w:rsidRPr="009342CB">
        <w:rPr>
          <w:szCs w:val="24"/>
        </w:rPr>
        <w:t>Large supplemental funding package for agencies of the federal government</w:t>
      </w:r>
    </w:p>
    <w:p w14:paraId="16272F21" w14:textId="20237B75" w:rsidR="00532621" w:rsidRPr="00382E2A" w:rsidRDefault="00371EE1" w:rsidP="00371EE1">
      <w:pPr>
        <w:jc w:val="center"/>
        <w:rPr>
          <w:b/>
          <w:sz w:val="24"/>
        </w:rPr>
      </w:pPr>
      <w:r w:rsidRPr="009342CB">
        <w:rPr>
          <w:rFonts w:ascii="Courier New" w:hAnsi="Courier New"/>
          <w:color w:val="3333FF"/>
          <w:sz w:val="20"/>
        </w:rPr>
        <w:br w:type="column"/>
      </w:r>
      <w:bookmarkStart w:id="1" w:name="_Hlk81912259"/>
      <w:bookmarkEnd w:id="0"/>
      <w:r w:rsidR="00C6033F">
        <w:rPr>
          <w:b/>
          <w:sz w:val="24"/>
        </w:rPr>
        <w:lastRenderedPageBreak/>
        <w:t xml:space="preserve">Table of </w:t>
      </w:r>
      <w:r w:rsidR="003E7383" w:rsidRPr="00382E2A">
        <w:rPr>
          <w:b/>
          <w:sz w:val="24"/>
        </w:rPr>
        <w:t>Contents</w:t>
      </w:r>
    </w:p>
    <w:bookmarkEnd w:id="1"/>
    <w:p w14:paraId="0277D113" w14:textId="45F6F27E" w:rsidR="00532621" w:rsidRDefault="00532621" w:rsidP="00532621">
      <w:pPr>
        <w:tabs>
          <w:tab w:val="left" w:pos="4500"/>
          <w:tab w:val="center" w:pos="6570"/>
          <w:tab w:val="center" w:pos="8190"/>
        </w:tabs>
      </w:pPr>
      <w:r>
        <w:tab/>
      </w:r>
      <w:r>
        <w:tab/>
      </w:r>
      <w:r w:rsidR="004E29E8">
        <w:t>2022</w:t>
      </w:r>
      <w:r>
        <w:t xml:space="preserve"> Text </w:t>
      </w:r>
      <w:r>
        <w:tab/>
        <w:t>Supplement</w:t>
      </w:r>
      <w:r w:rsidRPr="009E72CC">
        <w:t xml:space="preserve"> </w:t>
      </w:r>
      <w:r>
        <w:tab/>
      </w:r>
      <w:r>
        <w:br/>
      </w:r>
      <w:r>
        <w:tab/>
      </w:r>
      <w:r>
        <w:tab/>
      </w:r>
      <w:r w:rsidRPr="00A7655D">
        <w:rPr>
          <w:u w:val="single"/>
        </w:rPr>
        <w:t>Page</w:t>
      </w:r>
      <w:r>
        <w:tab/>
      </w:r>
      <w:r w:rsidRPr="00A7655D">
        <w:rPr>
          <w:u w:val="single"/>
        </w:rPr>
        <w:t>Page</w:t>
      </w:r>
      <w:bookmarkStart w:id="2" w:name="_Hlk81912485"/>
    </w:p>
    <w:bookmarkEnd w:id="2"/>
    <w:p w14:paraId="7E83AEED" w14:textId="77777777" w:rsidR="00E0021C" w:rsidRDefault="00532621" w:rsidP="0060500D">
      <w:pPr>
        <w:tabs>
          <w:tab w:val="left" w:pos="180"/>
          <w:tab w:val="left" w:pos="360"/>
          <w:tab w:val="left" w:pos="540"/>
          <w:tab w:val="left" w:pos="720"/>
          <w:tab w:val="left" w:pos="900"/>
          <w:tab w:val="left" w:pos="3150"/>
          <w:tab w:val="left" w:pos="6480"/>
          <w:tab w:val="left" w:pos="8010"/>
        </w:tabs>
      </w:pPr>
      <w:r w:rsidRPr="00025229">
        <w:rPr>
          <w:b/>
        </w:rPr>
        <w:t>Chapter 1: Income Taxation of Corporations</w:t>
      </w:r>
      <w:r w:rsidRPr="007A4A09">
        <w:tab/>
      </w:r>
      <w:r w:rsidR="00E365F2">
        <w:t>1-1</w:t>
      </w:r>
      <w:r w:rsidRPr="007A4A09">
        <w:tab/>
      </w:r>
      <w:r w:rsidR="00003460">
        <w:t>7</w:t>
      </w:r>
      <w:r w:rsidRPr="007A4A09">
        <w:br/>
      </w:r>
      <w:r w:rsidRPr="007A4A09">
        <w:tab/>
        <w:t>Comparison of Corporate and Individual Income Taxation</w:t>
      </w:r>
      <w:r w:rsidRPr="00C92F8D">
        <w:tab/>
        <w:t>1-8</w:t>
      </w:r>
      <w:r w:rsidRPr="00C92F8D">
        <w:tab/>
      </w:r>
      <w:r w:rsidR="00003460">
        <w:t>7</w:t>
      </w:r>
      <w:r w:rsidRPr="00C92F8D">
        <w:br/>
        <w:t xml:space="preserve"> </w:t>
      </w:r>
      <w:r w:rsidRPr="00C92F8D">
        <w:tab/>
      </w:r>
      <w:r w:rsidRPr="00C92F8D">
        <w:tab/>
      </w:r>
      <w:r w:rsidRPr="007A4A09">
        <w:t xml:space="preserve">Gross </w:t>
      </w:r>
      <w:r w:rsidR="00355172">
        <w:t>I</w:t>
      </w:r>
      <w:r w:rsidRPr="007A4A09">
        <w:t>ncome</w:t>
      </w:r>
      <w:r w:rsidRPr="007A4A09">
        <w:tab/>
      </w:r>
      <w:r w:rsidRPr="007A4A09">
        <w:tab/>
      </w:r>
      <w:r w:rsidRPr="00C92F8D">
        <w:t>1-9</w:t>
      </w:r>
      <w:r w:rsidRPr="007A4A09">
        <w:tab/>
      </w:r>
      <w:r w:rsidR="00003460">
        <w:t>7</w:t>
      </w:r>
      <w:r w:rsidRPr="007A4A09">
        <w:br/>
      </w:r>
      <w:r w:rsidRPr="00C92F8D">
        <w:tab/>
      </w:r>
      <w:r w:rsidRPr="00C92F8D">
        <w:tab/>
      </w:r>
      <w:r w:rsidRPr="00C92F8D">
        <w:tab/>
      </w:r>
      <w:r w:rsidR="00312948">
        <w:t>Stimulus P</w:t>
      </w:r>
      <w:r w:rsidRPr="00C92F8D">
        <w:t>ayments for individuals</w:t>
      </w:r>
      <w:r w:rsidRPr="00C92F8D">
        <w:tab/>
        <w:t>1-9</w:t>
      </w:r>
      <w:r w:rsidRPr="00C92F8D">
        <w:tab/>
      </w:r>
      <w:r w:rsidR="00003460">
        <w:t>7</w:t>
      </w:r>
      <w:r w:rsidR="00312948">
        <w:br/>
      </w:r>
      <w:r w:rsidR="00312948">
        <w:tab/>
      </w:r>
      <w:r w:rsidR="00312948">
        <w:tab/>
      </w:r>
      <w:r w:rsidR="00312948">
        <w:tab/>
        <w:t>Child Tax Credit and ARPA</w:t>
      </w:r>
      <w:r w:rsidR="00312948">
        <w:tab/>
      </w:r>
      <w:r w:rsidR="00312948">
        <w:tab/>
        <w:t>1-9</w:t>
      </w:r>
      <w:r w:rsidR="00312948">
        <w:tab/>
        <w:t>8</w:t>
      </w:r>
      <w:r w:rsidR="00312948">
        <w:br/>
      </w:r>
      <w:r w:rsidR="00312948">
        <w:tab/>
      </w:r>
      <w:r w:rsidR="00312948">
        <w:tab/>
      </w:r>
      <w:r w:rsidR="00312948">
        <w:tab/>
      </w:r>
      <w:r w:rsidR="00312948">
        <w:tab/>
        <w:t>Credit Increase and Phaseout Rules</w:t>
      </w:r>
      <w:r w:rsidR="0060500D">
        <w:tab/>
      </w:r>
      <w:r w:rsidR="0060500D">
        <w:tab/>
        <w:t>8</w:t>
      </w:r>
      <w:r w:rsidR="00312948">
        <w:br/>
      </w:r>
      <w:r w:rsidR="00312948">
        <w:tab/>
      </w:r>
      <w:r w:rsidR="00312948">
        <w:tab/>
      </w:r>
      <w:r w:rsidR="00312948">
        <w:tab/>
        <w:t>Unemployment benefits</w:t>
      </w:r>
      <w:r w:rsidR="0060500D">
        <w:tab/>
      </w:r>
      <w:r w:rsidR="0060500D">
        <w:tab/>
      </w:r>
      <w:r w:rsidR="0060500D">
        <w:tab/>
        <w:t>9</w:t>
      </w:r>
      <w:r w:rsidR="00355172">
        <w:br/>
      </w:r>
      <w:r w:rsidR="00355172">
        <w:tab/>
      </w:r>
      <w:r w:rsidR="00355172">
        <w:tab/>
      </w:r>
      <w:r w:rsidR="00355172">
        <w:tab/>
      </w:r>
      <w:r w:rsidR="00355172">
        <w:tab/>
        <w:t>Increased Benefits</w:t>
      </w:r>
      <w:r w:rsidR="0060500D">
        <w:tab/>
      </w:r>
      <w:r w:rsidR="0060500D">
        <w:tab/>
      </w:r>
      <w:r w:rsidR="0060500D">
        <w:tab/>
        <w:t>9</w:t>
      </w:r>
      <w:r w:rsidR="00355172">
        <w:br/>
      </w:r>
      <w:r w:rsidR="00355172">
        <w:tab/>
      </w:r>
      <w:r w:rsidR="00355172">
        <w:tab/>
      </w:r>
      <w:r w:rsidR="00355172">
        <w:tab/>
      </w:r>
      <w:r w:rsidR="00355172">
        <w:tab/>
        <w:t>Exclusion</w:t>
      </w:r>
      <w:r w:rsidR="0060500D">
        <w:tab/>
      </w:r>
      <w:r w:rsidR="0060500D">
        <w:tab/>
      </w:r>
      <w:r w:rsidR="0060500D">
        <w:tab/>
        <w:t>9</w:t>
      </w:r>
      <w:r w:rsidRPr="00C92F8D">
        <w:tab/>
      </w:r>
      <w:r w:rsidRPr="00C92F8D">
        <w:tab/>
        <w:t xml:space="preserve">Economic Injury Disaster Loans (EIDLs).  </w:t>
      </w:r>
      <w:r w:rsidRPr="00C92F8D">
        <w:tab/>
        <w:t>1-9</w:t>
      </w:r>
      <w:r w:rsidRPr="00C92F8D">
        <w:tab/>
      </w:r>
      <w:r w:rsidR="00C27FCC">
        <w:t>10</w:t>
      </w:r>
      <w:r w:rsidRPr="00C92F8D">
        <w:br/>
      </w:r>
      <w:r w:rsidRPr="00C92F8D">
        <w:tab/>
        <w:t>Paycheck Protection Program</w:t>
      </w:r>
      <w:r w:rsidRPr="00BF3359">
        <w:t xml:space="preserve"> (PPP Loans)</w:t>
      </w:r>
      <w:r w:rsidRPr="00BF3359">
        <w:tab/>
        <w:t>1-9</w:t>
      </w:r>
      <w:r w:rsidRPr="00BF3359">
        <w:tab/>
      </w:r>
      <w:r w:rsidR="00A01C5A">
        <w:t>10</w:t>
      </w:r>
      <w:r w:rsidRPr="00BF3359">
        <w:br/>
      </w:r>
      <w:r w:rsidRPr="00BF3359">
        <w:tab/>
      </w:r>
      <w:r w:rsidRPr="00BF3359">
        <w:tab/>
      </w:r>
      <w:r w:rsidRPr="00BF3359">
        <w:tab/>
        <w:t>PPP Loans in General</w:t>
      </w:r>
      <w:r w:rsidRPr="00BF3359">
        <w:tab/>
      </w:r>
      <w:r w:rsidRPr="00BF3359">
        <w:tab/>
      </w:r>
      <w:r w:rsidRPr="00BF3359">
        <w:tab/>
      </w:r>
      <w:r w:rsidR="00A01C5A">
        <w:t>10</w:t>
      </w:r>
      <w:r w:rsidR="00355172">
        <w:br/>
      </w:r>
      <w:r w:rsidR="00355172">
        <w:tab/>
      </w:r>
      <w:r w:rsidR="00355172">
        <w:tab/>
      </w:r>
      <w:r w:rsidR="00355172">
        <w:tab/>
        <w:t xml:space="preserve">PPP Loan Application </w:t>
      </w:r>
      <w:r w:rsidR="007A748A">
        <w:t>Form</w:t>
      </w:r>
      <w:r w:rsidR="00355172">
        <w:tab/>
      </w:r>
      <w:r w:rsidR="00355172">
        <w:tab/>
      </w:r>
      <w:r w:rsidR="00355172">
        <w:tab/>
        <w:t>1</w:t>
      </w:r>
      <w:r w:rsidR="007A748A">
        <w:t>1</w:t>
      </w:r>
      <w:r w:rsidRPr="00BF3359">
        <w:br/>
      </w:r>
      <w:r w:rsidRPr="00BF3359">
        <w:tab/>
      </w:r>
      <w:r w:rsidRPr="00BF3359">
        <w:tab/>
      </w:r>
      <w:r w:rsidRPr="00BF3359">
        <w:tab/>
        <w:t>PPP Loans: Eligible Recipients—Who Can Apply</w:t>
      </w:r>
      <w:r w:rsidR="00A01C5A">
        <w:t xml:space="preserve"> for a PPP Loan</w:t>
      </w:r>
      <w:r w:rsidRPr="00BF3359">
        <w:tab/>
      </w:r>
      <w:r w:rsidR="00355172">
        <w:tab/>
      </w:r>
      <w:r w:rsidR="00A01C5A">
        <w:t>1</w:t>
      </w:r>
      <w:r w:rsidR="00C27FCC">
        <w:t>2</w:t>
      </w:r>
      <w:r w:rsidRPr="00BF3359">
        <w:br/>
      </w:r>
      <w:r w:rsidRPr="00BF3359">
        <w:tab/>
      </w:r>
      <w:r w:rsidRPr="00BF3359">
        <w:tab/>
      </w:r>
      <w:r w:rsidRPr="00BF3359">
        <w:tab/>
        <w:t xml:space="preserve">PPP Loans: Authorized </w:t>
      </w:r>
      <w:r w:rsidR="00003460">
        <w:t>Uses</w:t>
      </w:r>
      <w:r w:rsidRPr="00BF3359">
        <w:tab/>
      </w:r>
      <w:r w:rsidRPr="00BF3359">
        <w:tab/>
      </w:r>
      <w:r w:rsidR="00355172">
        <w:tab/>
      </w:r>
      <w:r w:rsidR="00AB69F9">
        <w:t>1</w:t>
      </w:r>
      <w:r w:rsidR="00C27FCC">
        <w:t>3</w:t>
      </w:r>
      <w:r w:rsidRPr="00BF3359">
        <w:br/>
      </w:r>
      <w:r w:rsidRPr="00BF3359">
        <w:tab/>
      </w:r>
      <w:r w:rsidRPr="00BF3359">
        <w:tab/>
      </w:r>
      <w:r w:rsidRPr="00BF3359">
        <w:tab/>
        <w:t>PPP Loan</w:t>
      </w:r>
      <w:r w:rsidR="00A01C5A">
        <w:t>s: Computation of Amount</w:t>
      </w:r>
      <w:r w:rsidRPr="00BF3359">
        <w:tab/>
      </w:r>
      <w:r w:rsidRPr="00BF3359">
        <w:tab/>
        <w:t>1</w:t>
      </w:r>
      <w:r w:rsidR="00C27FCC">
        <w:t>4</w:t>
      </w:r>
      <w:r w:rsidR="00A01C5A">
        <w:br/>
      </w:r>
      <w:r w:rsidR="00A01C5A">
        <w:tab/>
      </w:r>
      <w:r w:rsidR="00A01C5A">
        <w:tab/>
      </w:r>
      <w:r w:rsidR="00A01C5A">
        <w:tab/>
      </w:r>
      <w:r w:rsidR="00A01C5A" w:rsidRPr="00A01C5A">
        <w:t>PPP Loans: Amount of Tax-Free Cancellation</w:t>
      </w:r>
      <w:r w:rsidR="00A01C5A">
        <w:tab/>
      </w:r>
      <w:r w:rsidR="00A01C5A">
        <w:tab/>
        <w:t>1</w:t>
      </w:r>
      <w:r w:rsidR="00C27FCC">
        <w:t>5</w:t>
      </w:r>
      <w:r w:rsidRPr="00BF3359">
        <w:br/>
      </w:r>
      <w:r w:rsidR="00A01C5A">
        <w:tab/>
      </w:r>
      <w:r w:rsidR="00A01C5A">
        <w:tab/>
      </w:r>
      <w:r w:rsidR="00A01C5A">
        <w:tab/>
        <w:t>PPP Loans: Loan Forgiveness Application</w:t>
      </w:r>
      <w:r w:rsidR="00A01C5A">
        <w:tab/>
      </w:r>
      <w:r w:rsidR="00A01C5A">
        <w:tab/>
        <w:t>1</w:t>
      </w:r>
      <w:r w:rsidR="00C27FCC">
        <w:t>5</w:t>
      </w:r>
      <w:r w:rsidR="00A01C5A">
        <w:tab/>
      </w:r>
      <w:r w:rsidR="00A01C5A">
        <w:br/>
      </w:r>
      <w:r w:rsidR="00A01C5A">
        <w:tab/>
      </w:r>
      <w:r w:rsidR="00A01C5A">
        <w:tab/>
      </w:r>
      <w:r w:rsidR="00A01C5A">
        <w:tab/>
        <w:t>PPP Loans: Loan Forgiveness Application Form</w:t>
      </w:r>
      <w:r w:rsidR="00A01C5A">
        <w:tab/>
      </w:r>
      <w:r w:rsidR="00A01C5A">
        <w:tab/>
        <w:t>1</w:t>
      </w:r>
      <w:r w:rsidR="00C27FCC">
        <w:t>6</w:t>
      </w:r>
      <w:r w:rsidR="00A01C5A">
        <w:br/>
      </w:r>
      <w:r w:rsidR="00A01C5A" w:rsidRPr="00A01C5A">
        <w:tab/>
      </w:r>
      <w:r w:rsidR="00A01C5A" w:rsidRPr="00A01C5A">
        <w:tab/>
      </w:r>
      <w:r w:rsidR="00A01C5A" w:rsidRPr="00A01C5A">
        <w:tab/>
        <w:t>PPP Loan Fraud</w:t>
      </w:r>
      <w:r w:rsidR="00A01C5A" w:rsidRPr="00A01C5A">
        <w:tab/>
      </w:r>
      <w:r w:rsidR="00A01C5A" w:rsidRPr="00A01C5A">
        <w:tab/>
      </w:r>
      <w:r w:rsidR="00A01C5A" w:rsidRPr="00A01C5A">
        <w:tab/>
      </w:r>
      <w:r w:rsidR="00AB69F9">
        <w:t>1</w:t>
      </w:r>
      <w:r w:rsidR="008D62B3">
        <w:t>8</w:t>
      </w:r>
      <w:r w:rsidR="00A01C5A">
        <w:br/>
      </w:r>
      <w:r w:rsidRPr="00BF3359">
        <w:tab/>
      </w:r>
      <w:r w:rsidRPr="00BF3359">
        <w:tab/>
      </w:r>
      <w:r w:rsidR="00AB69F9">
        <w:tab/>
      </w:r>
      <w:r w:rsidRPr="00AB69F9">
        <w:t>PPP Loans:</w:t>
      </w:r>
      <w:r w:rsidR="00AB69F9">
        <w:t xml:space="preserve"> Payroll Costs for S</w:t>
      </w:r>
      <w:r w:rsidRPr="00AB69F9">
        <w:t xml:space="preserve">elf-employed </w:t>
      </w:r>
      <w:r w:rsidR="00AB69F9">
        <w:t>I</w:t>
      </w:r>
      <w:r w:rsidRPr="00AB69F9">
        <w:t xml:space="preserve">ndividuals and </w:t>
      </w:r>
      <w:r w:rsidR="00AB69F9">
        <w:t>P</w:t>
      </w:r>
      <w:r w:rsidRPr="00AB69F9">
        <w:t>artnerships</w:t>
      </w:r>
      <w:r w:rsidRPr="00AB69F9">
        <w:tab/>
        <w:t>1</w:t>
      </w:r>
      <w:r w:rsidR="008D62B3">
        <w:t>9</w:t>
      </w:r>
      <w:r w:rsidRPr="00BF3359">
        <w:tab/>
      </w:r>
      <w:r w:rsidRPr="00BF3359">
        <w:tab/>
      </w:r>
      <w:r w:rsidRPr="00BF3359">
        <w:tab/>
      </w:r>
      <w:r w:rsidR="00AB69F9" w:rsidRPr="00AB69F9">
        <w:tab/>
      </w:r>
      <w:r w:rsidR="00AB69F9" w:rsidRPr="00AB69F9">
        <w:tab/>
        <w:t>PPP Loans: Guaranty</w:t>
      </w:r>
      <w:r w:rsidR="00AB69F9" w:rsidRPr="00AB69F9">
        <w:tab/>
      </w:r>
      <w:r w:rsidR="00AB69F9" w:rsidRPr="00AB69F9">
        <w:tab/>
      </w:r>
      <w:r w:rsidR="00AB69F9" w:rsidRPr="00AB69F9">
        <w:tab/>
      </w:r>
      <w:r w:rsidR="008D62B3">
        <w:t>20</w:t>
      </w:r>
      <w:r w:rsidR="00AB69F9">
        <w:br/>
      </w:r>
      <w:r w:rsidR="00AB69F9" w:rsidRPr="00AB69F9">
        <w:tab/>
      </w:r>
      <w:r w:rsidR="00AB69F9" w:rsidRPr="00AB69F9">
        <w:tab/>
      </w:r>
      <w:r w:rsidR="00AB69F9" w:rsidRPr="00AB69F9">
        <w:tab/>
        <w:t>PPP Loans: A Final Problem</w:t>
      </w:r>
      <w:r w:rsidR="00AB69F9" w:rsidRPr="00AB69F9">
        <w:tab/>
      </w:r>
      <w:r w:rsidR="00AB69F9" w:rsidRPr="00AB69F9">
        <w:tab/>
      </w:r>
      <w:r w:rsidR="00AB69F9" w:rsidRPr="00AB69F9">
        <w:tab/>
      </w:r>
      <w:r w:rsidR="00AB69F9">
        <w:t>2</w:t>
      </w:r>
      <w:r w:rsidR="008D62B3">
        <w:t>1</w:t>
      </w:r>
      <w:r w:rsidRPr="00BF3359">
        <w:tab/>
      </w:r>
      <w:r w:rsidRPr="00BF3359">
        <w:tab/>
      </w:r>
      <w:r w:rsidR="00AB69F9">
        <w:br/>
      </w:r>
      <w:r w:rsidRPr="00BF3359">
        <w:tab/>
      </w:r>
      <w:r w:rsidRPr="007A4A09">
        <w:t>Deductions</w:t>
      </w:r>
      <w:r w:rsidRPr="007A4A09">
        <w:tab/>
      </w:r>
      <w:r w:rsidRPr="007A4A09">
        <w:tab/>
      </w:r>
      <w:r w:rsidRPr="00C92F8D">
        <w:t>1-10</w:t>
      </w:r>
      <w:r w:rsidRPr="00C92F8D">
        <w:tab/>
      </w:r>
      <w:r w:rsidR="00AB69F9">
        <w:t>2</w:t>
      </w:r>
      <w:r w:rsidR="008D62B3">
        <w:t>1</w:t>
      </w:r>
      <w:r w:rsidRPr="00C92F8D">
        <w:tab/>
      </w:r>
      <w:r w:rsidRPr="00C92F8D">
        <w:tab/>
      </w:r>
      <w:r w:rsidRPr="00C92F8D">
        <w:tab/>
      </w:r>
      <w:r w:rsidR="00421706">
        <w:tab/>
        <w:t>Reasonable Compensation for</w:t>
      </w:r>
      <w:r w:rsidR="00E90F1F">
        <w:t xml:space="preserve"> Highly Compensated Employees </w:t>
      </w:r>
      <w:r w:rsidR="00421706">
        <w:tab/>
        <w:t>1-17</w:t>
      </w:r>
      <w:r w:rsidR="00421706">
        <w:tab/>
        <w:t>21</w:t>
      </w:r>
      <w:r w:rsidR="00421706">
        <w:br/>
      </w:r>
      <w:r w:rsidR="00421706">
        <w:tab/>
      </w:r>
      <w:r w:rsidR="00421706">
        <w:tab/>
        <w:t>100% Deduction for Food and Beverages</w:t>
      </w:r>
      <w:r w:rsidR="00421706">
        <w:tab/>
      </w:r>
      <w:r w:rsidR="00421706">
        <w:tab/>
        <w:t>21</w:t>
      </w:r>
      <w:r w:rsidR="00421706">
        <w:br/>
      </w:r>
      <w:r w:rsidR="00421706">
        <w:tab/>
      </w:r>
      <w:r w:rsidR="00421706">
        <w:tab/>
      </w:r>
      <w:r w:rsidR="000C59AF">
        <w:t>Deductibility</w:t>
      </w:r>
      <w:r w:rsidR="00421706">
        <w:t xml:space="preserve"> of Business Expenses Paid with PPP Loans</w:t>
      </w:r>
      <w:r w:rsidR="00421706">
        <w:tab/>
      </w:r>
      <w:r w:rsidR="00421706">
        <w:tab/>
        <w:t>21</w:t>
      </w:r>
      <w:r w:rsidR="00E90F1F">
        <w:br/>
      </w:r>
      <w:r w:rsidR="000C59AF">
        <w:tab/>
      </w:r>
      <w:r w:rsidR="000C59AF">
        <w:tab/>
      </w:r>
      <w:r w:rsidR="006A0269">
        <w:t xml:space="preserve">Deductions for </w:t>
      </w:r>
      <w:r w:rsidRPr="00C92F8D">
        <w:t>Family and Medical Leave Payments and Sick Pay</w:t>
      </w:r>
      <w:r w:rsidRPr="00C92F8D">
        <w:tab/>
      </w:r>
      <w:r w:rsidRPr="00C92F8D">
        <w:tab/>
      </w:r>
      <w:r w:rsidR="00AB69F9">
        <w:t>2</w:t>
      </w:r>
      <w:r w:rsidR="008D62B3">
        <w:t>2</w:t>
      </w:r>
      <w:r w:rsidR="00AB69F9">
        <w:br/>
      </w:r>
      <w:r w:rsidRPr="00BF3359">
        <w:tab/>
      </w:r>
      <w:r w:rsidRPr="00BF3359">
        <w:tab/>
      </w:r>
      <w:r w:rsidRPr="00BF3359">
        <w:tab/>
        <w:t>Paid Sick Leave: Background</w:t>
      </w:r>
      <w:r w:rsidR="00AB69F9">
        <w:tab/>
      </w:r>
      <w:r w:rsidRPr="00BF3359">
        <w:tab/>
      </w:r>
      <w:r w:rsidR="00AB69F9">
        <w:t>2</w:t>
      </w:r>
      <w:r w:rsidR="00BF562F">
        <w:t>3</w:t>
      </w:r>
      <w:r w:rsidRPr="00BF3359">
        <w:br/>
      </w:r>
      <w:r w:rsidR="000C59AF">
        <w:tab/>
      </w:r>
      <w:r w:rsidR="000C59AF">
        <w:tab/>
      </w:r>
      <w:r w:rsidRPr="00BF3359">
        <w:tab/>
        <w:t xml:space="preserve">FFCRA </w:t>
      </w:r>
      <w:r w:rsidR="00185110">
        <w:t>and</w:t>
      </w:r>
      <w:r w:rsidRPr="00BF3359">
        <w:t xml:space="preserve"> Sick Leave</w:t>
      </w:r>
      <w:r w:rsidRPr="00BF3359">
        <w:tab/>
      </w:r>
      <w:r w:rsidRPr="00BF3359">
        <w:tab/>
      </w:r>
      <w:r w:rsidR="00185110">
        <w:tab/>
      </w:r>
      <w:r w:rsidR="00AB69F9">
        <w:t>2</w:t>
      </w:r>
      <w:r w:rsidR="00BF562F">
        <w:t>3</w:t>
      </w:r>
      <w:r w:rsidR="00AB69F9" w:rsidRPr="00566313">
        <w:rPr>
          <w:sz w:val="20"/>
        </w:rPr>
        <w:tab/>
      </w:r>
      <w:r w:rsidR="00AB69F9" w:rsidRPr="00566313">
        <w:rPr>
          <w:sz w:val="20"/>
        </w:rPr>
        <w:tab/>
      </w:r>
      <w:r w:rsidR="00285A3C">
        <w:rPr>
          <w:sz w:val="20"/>
        </w:rPr>
        <w:tab/>
      </w:r>
      <w:r w:rsidR="00285A3C">
        <w:rPr>
          <w:sz w:val="20"/>
        </w:rPr>
        <w:tab/>
      </w:r>
      <w:r w:rsidR="00285A3C">
        <w:rPr>
          <w:sz w:val="20"/>
        </w:rPr>
        <w:tab/>
      </w:r>
      <w:r w:rsidR="00AB69F9" w:rsidRPr="00566313">
        <w:rPr>
          <w:sz w:val="20"/>
        </w:rPr>
        <w:tab/>
        <w:t>Which Employees Are Covered</w:t>
      </w:r>
      <w:r w:rsidR="00AB69F9" w:rsidRPr="00566313">
        <w:rPr>
          <w:sz w:val="20"/>
        </w:rPr>
        <w:tab/>
      </w:r>
      <w:r w:rsidR="00AB69F9" w:rsidRPr="00566313">
        <w:rPr>
          <w:sz w:val="20"/>
        </w:rPr>
        <w:tab/>
      </w:r>
      <w:r w:rsidR="00AB69F9">
        <w:rPr>
          <w:sz w:val="20"/>
        </w:rPr>
        <w:t>2</w:t>
      </w:r>
      <w:r w:rsidR="00BF562F">
        <w:rPr>
          <w:sz w:val="20"/>
        </w:rPr>
        <w:t>3</w:t>
      </w:r>
      <w:r w:rsidR="00AB69F9" w:rsidRPr="00566313">
        <w:rPr>
          <w:sz w:val="20"/>
        </w:rPr>
        <w:br/>
      </w:r>
      <w:r w:rsidR="00AB69F9" w:rsidRPr="00566313">
        <w:rPr>
          <w:sz w:val="20"/>
        </w:rPr>
        <w:tab/>
      </w:r>
      <w:r w:rsidR="00AB69F9" w:rsidRPr="00566313">
        <w:rPr>
          <w:sz w:val="20"/>
        </w:rPr>
        <w:tab/>
      </w:r>
      <w:r w:rsidR="00AB69F9" w:rsidRPr="00566313">
        <w:rPr>
          <w:sz w:val="20"/>
        </w:rPr>
        <w:tab/>
      </w:r>
      <w:r w:rsidR="00285A3C">
        <w:rPr>
          <w:sz w:val="20"/>
        </w:rPr>
        <w:tab/>
      </w:r>
      <w:r w:rsidR="00AB69F9" w:rsidRPr="00566313">
        <w:rPr>
          <w:sz w:val="20"/>
        </w:rPr>
        <w:t>Which Employers Are Required to Pay Sick Leave</w:t>
      </w:r>
      <w:r w:rsidR="00AB69F9" w:rsidRPr="00566313">
        <w:rPr>
          <w:sz w:val="20"/>
        </w:rPr>
        <w:tab/>
      </w:r>
      <w:r w:rsidR="00AB69F9" w:rsidRPr="00566313">
        <w:rPr>
          <w:sz w:val="20"/>
        </w:rPr>
        <w:tab/>
      </w:r>
      <w:r w:rsidR="00AB69F9">
        <w:rPr>
          <w:sz w:val="20"/>
        </w:rPr>
        <w:t>2</w:t>
      </w:r>
      <w:r w:rsidR="00BF562F">
        <w:rPr>
          <w:sz w:val="20"/>
        </w:rPr>
        <w:t>4</w:t>
      </w:r>
      <w:r w:rsidR="00AB69F9">
        <w:rPr>
          <w:sz w:val="20"/>
        </w:rPr>
        <w:br/>
      </w:r>
      <w:r w:rsidR="00AB69F9" w:rsidRPr="00AB69F9">
        <w:rPr>
          <w:sz w:val="20"/>
        </w:rPr>
        <w:tab/>
      </w:r>
      <w:r w:rsidR="00AB69F9" w:rsidRPr="00AB69F9">
        <w:rPr>
          <w:sz w:val="20"/>
        </w:rPr>
        <w:tab/>
      </w:r>
      <w:r w:rsidR="00AB69F9" w:rsidRPr="00AB69F9">
        <w:rPr>
          <w:sz w:val="20"/>
        </w:rPr>
        <w:tab/>
      </w:r>
      <w:r w:rsidR="00285A3C">
        <w:rPr>
          <w:sz w:val="20"/>
        </w:rPr>
        <w:t>Sick Pay Required</w:t>
      </w:r>
      <w:r w:rsidR="00AB69F9" w:rsidRPr="00AB69F9">
        <w:rPr>
          <w:sz w:val="20"/>
        </w:rPr>
        <w:tab/>
      </w:r>
      <w:r w:rsidR="00AB69F9" w:rsidRPr="00AB69F9">
        <w:rPr>
          <w:sz w:val="20"/>
        </w:rPr>
        <w:tab/>
      </w:r>
      <w:r w:rsidR="00AB69F9" w:rsidRPr="00AB69F9">
        <w:rPr>
          <w:sz w:val="20"/>
        </w:rPr>
        <w:tab/>
      </w:r>
      <w:r w:rsidR="00AB69F9">
        <w:rPr>
          <w:sz w:val="20"/>
        </w:rPr>
        <w:t>2</w:t>
      </w:r>
      <w:r w:rsidR="008D62B3">
        <w:rPr>
          <w:sz w:val="20"/>
        </w:rPr>
        <w:t>5</w:t>
      </w:r>
      <w:r w:rsidR="00AB69F9">
        <w:rPr>
          <w:sz w:val="20"/>
        </w:rPr>
        <w:br/>
      </w:r>
      <w:r w:rsidR="00AB69F9" w:rsidRPr="00AB69F9">
        <w:rPr>
          <w:sz w:val="20"/>
        </w:rPr>
        <w:tab/>
      </w:r>
      <w:r w:rsidR="00AB69F9" w:rsidRPr="00AB69F9">
        <w:rPr>
          <w:sz w:val="20"/>
        </w:rPr>
        <w:tab/>
      </w:r>
      <w:r w:rsidR="00AB69F9" w:rsidRPr="00AB69F9">
        <w:rPr>
          <w:sz w:val="20"/>
        </w:rPr>
        <w:tab/>
        <w:t>Family and Medical Leave Payments and Sick Pay</w:t>
      </w:r>
      <w:r w:rsidR="00AB69F9" w:rsidRPr="00AB69F9">
        <w:rPr>
          <w:sz w:val="20"/>
        </w:rPr>
        <w:tab/>
      </w:r>
      <w:r w:rsidR="00AB69F9" w:rsidRPr="00AB69F9">
        <w:rPr>
          <w:sz w:val="20"/>
        </w:rPr>
        <w:tab/>
      </w:r>
      <w:r w:rsidR="00285A3C">
        <w:rPr>
          <w:sz w:val="20"/>
        </w:rPr>
        <w:t>2</w:t>
      </w:r>
      <w:r w:rsidR="008D62B3">
        <w:rPr>
          <w:sz w:val="20"/>
        </w:rPr>
        <w:t>5</w:t>
      </w:r>
      <w:r w:rsidRPr="00BF3359">
        <w:tab/>
      </w:r>
      <w:r w:rsidRPr="00BF3359">
        <w:tab/>
      </w:r>
      <w:r w:rsidR="000C59AF">
        <w:tab/>
      </w:r>
      <w:r w:rsidR="000C59AF">
        <w:tab/>
      </w:r>
      <w:r w:rsidRPr="00BF3359">
        <w:tab/>
        <w:t>Summary Tables</w:t>
      </w:r>
      <w:r w:rsidR="000C59AF">
        <w:t>: Sick Pay and Family and Medical Leave</w:t>
      </w:r>
      <w:r w:rsidR="000C59AF">
        <w:tab/>
      </w:r>
      <w:r w:rsidR="000C59AF">
        <w:tab/>
      </w:r>
      <w:r w:rsidRPr="00BF562F">
        <w:rPr>
          <w:sz w:val="20"/>
          <w:szCs w:val="18"/>
        </w:rPr>
        <w:t>2</w:t>
      </w:r>
      <w:r w:rsidR="000C59AF">
        <w:rPr>
          <w:sz w:val="20"/>
          <w:szCs w:val="18"/>
        </w:rPr>
        <w:t>6</w:t>
      </w:r>
      <w:r w:rsidRPr="00BF562F">
        <w:rPr>
          <w:sz w:val="20"/>
          <w:szCs w:val="18"/>
        </w:rPr>
        <w:br/>
      </w:r>
      <w:r w:rsidR="00BF562F" w:rsidRPr="00285A3C">
        <w:rPr>
          <w:sz w:val="20"/>
        </w:rPr>
        <w:tab/>
      </w:r>
      <w:r w:rsidR="00BF562F">
        <w:rPr>
          <w:sz w:val="20"/>
        </w:rPr>
        <w:tab/>
      </w:r>
      <w:r w:rsidR="00BF562F" w:rsidRPr="00BF562F">
        <w:rPr>
          <w:sz w:val="20"/>
        </w:rPr>
        <w:t>Credits for Sick Leave</w:t>
      </w:r>
      <w:r w:rsidR="00BF562F" w:rsidRPr="00BF562F">
        <w:rPr>
          <w:sz w:val="20"/>
        </w:rPr>
        <w:tab/>
      </w:r>
      <w:r w:rsidR="00BF562F" w:rsidRPr="00BF562F">
        <w:rPr>
          <w:sz w:val="20"/>
        </w:rPr>
        <w:tab/>
      </w:r>
      <w:r w:rsidR="00BF562F" w:rsidRPr="00BF562F">
        <w:rPr>
          <w:sz w:val="20"/>
        </w:rPr>
        <w:tab/>
        <w:t>2</w:t>
      </w:r>
      <w:r w:rsidR="00BF562F">
        <w:rPr>
          <w:sz w:val="20"/>
        </w:rPr>
        <w:t>8</w:t>
      </w:r>
      <w:r w:rsidR="00BF562F" w:rsidRPr="00BF562F">
        <w:rPr>
          <w:sz w:val="20"/>
        </w:rPr>
        <w:br/>
      </w:r>
      <w:r w:rsidR="00BF562F" w:rsidRPr="00BF562F">
        <w:rPr>
          <w:sz w:val="20"/>
        </w:rPr>
        <w:tab/>
      </w:r>
      <w:r w:rsidR="00BF562F" w:rsidRPr="00BF562F">
        <w:rPr>
          <w:sz w:val="20"/>
        </w:rPr>
        <w:tab/>
      </w:r>
      <w:r w:rsidR="00BF562F" w:rsidRPr="00BF562F">
        <w:rPr>
          <w:sz w:val="20"/>
        </w:rPr>
        <w:tab/>
        <w:t>FFCRA Credits for Sick Pay</w:t>
      </w:r>
      <w:r w:rsidR="00BF562F" w:rsidRPr="00BF562F">
        <w:rPr>
          <w:sz w:val="20"/>
        </w:rPr>
        <w:tab/>
      </w:r>
      <w:r w:rsidR="00BF562F" w:rsidRPr="00BF562F">
        <w:rPr>
          <w:sz w:val="20"/>
        </w:rPr>
        <w:tab/>
      </w:r>
      <w:r w:rsidR="00BF562F" w:rsidRPr="00BF562F">
        <w:rPr>
          <w:sz w:val="20"/>
        </w:rPr>
        <w:tab/>
        <w:t>2</w:t>
      </w:r>
      <w:r w:rsidR="00BF562F">
        <w:rPr>
          <w:sz w:val="20"/>
        </w:rPr>
        <w:t>8</w:t>
      </w:r>
      <w:r w:rsidR="00BF562F" w:rsidRPr="00285A3C">
        <w:rPr>
          <w:sz w:val="20"/>
        </w:rPr>
        <w:tab/>
      </w:r>
      <w:r w:rsidR="00BF562F">
        <w:rPr>
          <w:sz w:val="20"/>
        </w:rPr>
        <w:br/>
      </w:r>
      <w:r w:rsidRPr="00BF3359">
        <w:tab/>
      </w:r>
      <w:r w:rsidRPr="00BF3359">
        <w:tab/>
        <w:t xml:space="preserve">Employer Disaster Relief Payments </w:t>
      </w:r>
      <w:r w:rsidR="00497DF2">
        <w:t>for Employees and</w:t>
      </w:r>
      <w:r w:rsidRPr="00BF3359">
        <w:t xml:space="preserve"> Exclusion</w:t>
      </w:r>
      <w:r w:rsidR="00497DF2">
        <w:t xml:space="preserve"> (§ 139)</w:t>
      </w:r>
      <w:r w:rsidRPr="00BF3359">
        <w:tab/>
      </w:r>
      <w:r w:rsidR="00003460">
        <w:t>2</w:t>
      </w:r>
      <w:r w:rsidR="00BF562F">
        <w:t>8</w:t>
      </w:r>
      <w:r w:rsidRPr="00BF3359">
        <w:tab/>
      </w:r>
      <w:r w:rsidRPr="00BF3359">
        <w:br/>
      </w:r>
      <w:r w:rsidRPr="00BF3359">
        <w:tab/>
      </w:r>
      <w:r w:rsidRPr="00BF3359">
        <w:tab/>
        <w:t>Employer Payment of Student Loans</w:t>
      </w:r>
      <w:r w:rsidR="00892041">
        <w:t>: Educational Assistance Plans</w:t>
      </w:r>
      <w:r w:rsidRPr="00BF3359">
        <w:tab/>
      </w:r>
      <w:r w:rsidRPr="00BF3359">
        <w:tab/>
      </w:r>
      <w:r w:rsidR="00003460">
        <w:t>2</w:t>
      </w:r>
      <w:r w:rsidR="00497DF2">
        <w:t>9</w:t>
      </w:r>
      <w:r w:rsidRPr="00BF3359">
        <w:tab/>
      </w:r>
      <w:r w:rsidRPr="00BF3359">
        <w:br/>
      </w:r>
      <w:r w:rsidRPr="00BF3359">
        <w:tab/>
      </w:r>
      <w:r w:rsidRPr="00BF3359">
        <w:tab/>
        <w:t>Health Savings Accounts</w:t>
      </w:r>
      <w:r w:rsidRPr="00BF3359">
        <w:tab/>
      </w:r>
      <w:r w:rsidRPr="00BF3359">
        <w:tab/>
      </w:r>
      <w:r w:rsidRPr="00BF3359">
        <w:tab/>
      </w:r>
      <w:r w:rsidR="009E3376">
        <w:t>29</w:t>
      </w:r>
      <w:r w:rsidRPr="00BF3359">
        <w:tab/>
      </w:r>
      <w:r w:rsidRPr="00BF3359">
        <w:br/>
      </w:r>
      <w:r w:rsidRPr="00BF3359">
        <w:tab/>
      </w:r>
      <w:r w:rsidRPr="00BF3359">
        <w:tab/>
      </w:r>
      <w:r w:rsidRPr="00BF3359">
        <w:tab/>
      </w:r>
      <w:r w:rsidR="00D334A1">
        <w:t>Qualified Expenses: Over-the-Counter Drugs, Telehealth, Menstrual Needs</w:t>
      </w:r>
      <w:r w:rsidRPr="00BF3359">
        <w:tab/>
      </w:r>
      <w:r w:rsidR="009E3376">
        <w:t>29</w:t>
      </w:r>
      <w:r w:rsidR="00D334A1">
        <w:br/>
      </w:r>
      <w:r w:rsidR="00D334A1">
        <w:tab/>
      </w:r>
      <w:r w:rsidR="00D334A1">
        <w:tab/>
        <w:t>Group Health Plans: Required Coverage of COVID-19 Expenses</w:t>
      </w:r>
      <w:r w:rsidR="00D334A1">
        <w:tab/>
      </w:r>
      <w:r w:rsidR="00D334A1">
        <w:tab/>
      </w:r>
      <w:r w:rsidR="0007529F">
        <w:t>30</w:t>
      </w:r>
      <w:r w:rsidRPr="00BF3359">
        <w:br/>
      </w:r>
      <w:r w:rsidRPr="00BF3359">
        <w:tab/>
      </w:r>
      <w:r w:rsidRPr="00BF3359">
        <w:tab/>
        <w:t>High Deductible Health Plans</w:t>
      </w:r>
      <w:r w:rsidRPr="00BF3359">
        <w:tab/>
      </w:r>
      <w:r w:rsidRPr="00BF3359">
        <w:tab/>
      </w:r>
      <w:r w:rsidR="00D334A1">
        <w:tab/>
        <w:t>3</w:t>
      </w:r>
      <w:r w:rsidR="009E3376">
        <w:t>0</w:t>
      </w:r>
      <w:r w:rsidRPr="00BF3359">
        <w:br/>
      </w:r>
      <w:r w:rsidRPr="00BF3359">
        <w:tab/>
      </w:r>
      <w:r w:rsidRPr="00BF3359">
        <w:tab/>
        <w:t>Employment Taxes: Deferral of Payment of Employer Share</w:t>
      </w:r>
      <w:r w:rsidRPr="00BF3359">
        <w:tab/>
      </w:r>
      <w:r w:rsidRPr="00BF3359">
        <w:tab/>
      </w:r>
      <w:r w:rsidR="00D334A1">
        <w:t>3</w:t>
      </w:r>
      <w:r w:rsidR="0007529F">
        <w:t>1</w:t>
      </w:r>
      <w:r w:rsidRPr="00BF3359">
        <w:tab/>
      </w:r>
      <w:r w:rsidRPr="00BF3359">
        <w:br/>
      </w:r>
      <w:r w:rsidRPr="00BF3359">
        <w:tab/>
      </w:r>
      <w:r w:rsidRPr="00BF3359">
        <w:tab/>
      </w:r>
      <w:r w:rsidRPr="00BF3359">
        <w:tab/>
        <w:t>Effect of PPP Loans on Deferral of Payroll Taxes</w:t>
      </w:r>
      <w:r w:rsidRPr="00BF3359">
        <w:tab/>
      </w:r>
      <w:r w:rsidRPr="00BF3359">
        <w:tab/>
      </w:r>
      <w:r w:rsidR="00D334A1">
        <w:t>3</w:t>
      </w:r>
      <w:r w:rsidR="007C6BFE">
        <w:t>1</w:t>
      </w:r>
      <w:r w:rsidRPr="00BF3359">
        <w:tab/>
      </w:r>
      <w:r w:rsidRPr="00BF3359">
        <w:tab/>
      </w:r>
      <w:r w:rsidRPr="00BF3359">
        <w:tab/>
      </w:r>
      <w:r w:rsidRPr="00BF3359">
        <w:tab/>
        <w:t>Leasehold Improvements</w:t>
      </w:r>
      <w:r w:rsidRPr="00BF3359">
        <w:tab/>
      </w:r>
      <w:r w:rsidRPr="00BF3359">
        <w:tab/>
      </w:r>
      <w:r w:rsidRPr="00BF3359">
        <w:tab/>
      </w:r>
      <w:r w:rsidR="00D334A1">
        <w:t>3</w:t>
      </w:r>
      <w:r w:rsidR="0007529F">
        <w:t>2</w:t>
      </w:r>
      <w:r w:rsidRPr="00BF3359">
        <w:br/>
      </w:r>
      <w:r w:rsidRPr="00BF3359">
        <w:tab/>
      </w:r>
      <w:r w:rsidRPr="00BF3359">
        <w:tab/>
      </w:r>
      <w:r w:rsidRPr="007A4A09">
        <w:t>Limitation on Deduction of Interest of Businesses</w:t>
      </w:r>
      <w:r w:rsidRPr="00C92F8D">
        <w:tab/>
        <w:t>1-17</w:t>
      </w:r>
      <w:r w:rsidRPr="00C92F8D">
        <w:tab/>
      </w:r>
      <w:r w:rsidR="00D334A1">
        <w:t>3</w:t>
      </w:r>
      <w:r w:rsidR="007C6BFE">
        <w:t>2</w:t>
      </w:r>
      <w:r w:rsidRPr="00C92F8D">
        <w:br/>
      </w:r>
      <w:r w:rsidRPr="00C92F8D">
        <w:tab/>
      </w:r>
      <w:r w:rsidRPr="00C92F8D">
        <w:tab/>
      </w:r>
      <w:r w:rsidRPr="007A4A09">
        <w:t>Net Operating Loss</w:t>
      </w:r>
      <w:r w:rsidRPr="00C92F8D">
        <w:tab/>
      </w:r>
      <w:r w:rsidRPr="00C92F8D">
        <w:tab/>
        <w:t>1-18</w:t>
      </w:r>
      <w:r w:rsidRPr="00C92F8D">
        <w:tab/>
      </w:r>
      <w:r w:rsidR="00D334A1">
        <w:t>3</w:t>
      </w:r>
      <w:r w:rsidR="0007529F">
        <w:t>3</w:t>
      </w:r>
      <w:r w:rsidRPr="00C92F8D">
        <w:br/>
      </w:r>
      <w:r w:rsidR="00DC645C">
        <w:tab/>
      </w:r>
      <w:r w:rsidR="00DC645C">
        <w:tab/>
      </w:r>
      <w:r w:rsidR="00DC645C">
        <w:tab/>
      </w:r>
      <w:r w:rsidR="00DC645C">
        <w:t>N</w:t>
      </w:r>
      <w:r w:rsidR="00DC645C" w:rsidRPr="00DC645C">
        <w:t>OL Deduction: Carryback for 5 Years and No 80% Limitation.</w:t>
      </w:r>
      <w:r w:rsidR="00DC645C">
        <w:tab/>
      </w:r>
      <w:r w:rsidR="00DC645C">
        <w:tab/>
        <w:t>33</w:t>
      </w:r>
      <w:r w:rsidR="00DC645C" w:rsidRPr="00C92F8D">
        <w:br/>
      </w:r>
      <w:r w:rsidRPr="00C92F8D">
        <w:tab/>
      </w:r>
      <w:r w:rsidRPr="00C92F8D">
        <w:tab/>
      </w:r>
      <w:r w:rsidRPr="00C92F8D">
        <w:tab/>
        <w:t xml:space="preserve">NOLs: Temporary Repeal of 80% </w:t>
      </w:r>
      <w:r w:rsidR="00C92F8D" w:rsidRPr="00C92F8D">
        <w:t xml:space="preserve">of </w:t>
      </w:r>
      <w:r w:rsidRPr="00C92F8D">
        <w:t>Taxable Income Limi</w:t>
      </w:r>
      <w:r w:rsidRPr="007A4A09">
        <w:t>t</w:t>
      </w:r>
      <w:r w:rsidRPr="007A4A09">
        <w:tab/>
      </w:r>
      <w:r w:rsidRPr="007A4A09">
        <w:tab/>
      </w:r>
      <w:r w:rsidR="00D334A1">
        <w:t>3</w:t>
      </w:r>
      <w:r w:rsidR="007C6BFE">
        <w:t>3</w:t>
      </w:r>
      <w:r w:rsidRPr="00C92F8D">
        <w:tab/>
      </w:r>
    </w:p>
    <w:p w14:paraId="454E448E" w14:textId="4B217B9A" w:rsidR="00E0021C" w:rsidRPr="00382E2A" w:rsidRDefault="00E0021C" w:rsidP="00E0021C">
      <w:pPr>
        <w:jc w:val="center"/>
        <w:rPr>
          <w:b/>
          <w:sz w:val="24"/>
        </w:rPr>
      </w:pPr>
      <w:r>
        <w:rPr>
          <w:b/>
          <w:sz w:val="24"/>
        </w:rPr>
        <w:lastRenderedPageBreak/>
        <w:t xml:space="preserve">Table of </w:t>
      </w:r>
      <w:r w:rsidRPr="00382E2A">
        <w:rPr>
          <w:b/>
          <w:sz w:val="24"/>
        </w:rPr>
        <w:t>Contents</w:t>
      </w:r>
      <w:r>
        <w:rPr>
          <w:b/>
          <w:sz w:val="24"/>
        </w:rPr>
        <w:t xml:space="preserve"> (Continued)</w:t>
      </w:r>
    </w:p>
    <w:p w14:paraId="2A7D7CD8" w14:textId="321FA5BC" w:rsidR="00E0021C" w:rsidRDefault="00E0021C" w:rsidP="00E0021C">
      <w:pPr>
        <w:tabs>
          <w:tab w:val="left" w:pos="4500"/>
          <w:tab w:val="center" w:pos="6570"/>
          <w:tab w:val="center" w:pos="8190"/>
        </w:tabs>
      </w:pPr>
      <w:r>
        <w:tab/>
      </w:r>
      <w:r>
        <w:tab/>
      </w:r>
      <w:r>
        <w:tab/>
      </w:r>
      <w:r>
        <w:tab/>
      </w:r>
      <w:r>
        <w:tab/>
      </w:r>
      <w:r>
        <w:tab/>
      </w:r>
      <w:r>
        <w:tab/>
      </w:r>
      <w:r>
        <w:t>20</w:t>
      </w:r>
      <w:r w:rsidR="004E29E8">
        <w:t>22</w:t>
      </w:r>
      <w:r>
        <w:t xml:space="preserve"> Text </w:t>
      </w:r>
      <w:r>
        <w:tab/>
        <w:t xml:space="preserve">Supplement </w:t>
      </w:r>
      <w:r>
        <w:br/>
      </w:r>
      <w:r>
        <w:tab/>
      </w:r>
      <w:r>
        <w:tab/>
      </w:r>
      <w:r w:rsidRPr="00E0021C">
        <w:rPr>
          <w:u w:val="single"/>
        </w:rPr>
        <w:t>Page</w:t>
      </w:r>
      <w:r>
        <w:tab/>
      </w:r>
      <w:r w:rsidRPr="00E0021C">
        <w:rPr>
          <w:u w:val="single"/>
        </w:rPr>
        <w:t>Page</w:t>
      </w:r>
    </w:p>
    <w:p w14:paraId="32652998" w14:textId="04A1DD5A" w:rsidR="006112E3" w:rsidRDefault="00532621" w:rsidP="0060500D">
      <w:pPr>
        <w:tabs>
          <w:tab w:val="left" w:pos="180"/>
          <w:tab w:val="left" w:pos="360"/>
          <w:tab w:val="left" w:pos="540"/>
          <w:tab w:val="left" w:pos="720"/>
          <w:tab w:val="left" w:pos="900"/>
          <w:tab w:val="left" w:pos="3150"/>
          <w:tab w:val="left" w:pos="6480"/>
          <w:tab w:val="left" w:pos="8010"/>
        </w:tabs>
      </w:pPr>
      <w:r w:rsidRPr="00C92F8D">
        <w:tab/>
      </w:r>
      <w:r w:rsidRPr="007A4A09">
        <w:t>Charitable Contributions</w:t>
      </w:r>
      <w:r w:rsidRPr="00C92F8D">
        <w:tab/>
      </w:r>
      <w:r w:rsidRPr="00C92F8D">
        <w:tab/>
        <w:t>1-</w:t>
      </w:r>
      <w:r w:rsidR="007C6BFE">
        <w:t>21</w:t>
      </w:r>
      <w:r w:rsidRPr="00C92F8D">
        <w:tab/>
      </w:r>
      <w:r w:rsidR="00D334A1">
        <w:t>3</w:t>
      </w:r>
      <w:r w:rsidR="001B3237">
        <w:t>4</w:t>
      </w:r>
      <w:r w:rsidRPr="00C92F8D">
        <w:br/>
      </w:r>
      <w:r w:rsidRPr="00C92F8D">
        <w:tab/>
      </w:r>
      <w:r w:rsidRPr="00C92F8D">
        <w:tab/>
      </w:r>
      <w:r w:rsidRPr="00C92F8D">
        <w:tab/>
      </w:r>
      <w:r w:rsidR="00187174" w:rsidRPr="00C92F8D">
        <w:t>Deduction Limitations</w:t>
      </w:r>
      <w:r w:rsidR="001B3237">
        <w:t>: Corporations</w:t>
      </w:r>
      <w:r w:rsidR="00187174" w:rsidRPr="00C92F8D">
        <w:tab/>
        <w:t>1-21</w:t>
      </w:r>
      <w:r w:rsidR="00187174" w:rsidRPr="00C92F8D">
        <w:tab/>
      </w:r>
      <w:r w:rsidR="00D334A1">
        <w:t>3</w:t>
      </w:r>
      <w:r w:rsidR="001B3237">
        <w:t>4</w:t>
      </w:r>
      <w:r w:rsidR="00187174" w:rsidRPr="00C92F8D">
        <w:tab/>
      </w:r>
      <w:r w:rsidR="00187174" w:rsidRPr="00C92F8D">
        <w:tab/>
      </w:r>
      <w:r w:rsidR="003F0A2C">
        <w:tab/>
      </w:r>
      <w:r w:rsidR="003F0A2C">
        <w:tab/>
      </w:r>
      <w:r w:rsidR="003F0A2C">
        <w:tab/>
      </w:r>
      <w:r w:rsidRPr="00C92F8D">
        <w:t>Increase Limits on Contributions of Food Inventory</w:t>
      </w:r>
      <w:r w:rsidRPr="00C92F8D">
        <w:tab/>
        <w:t>1-2</w:t>
      </w:r>
      <w:r w:rsidR="007C6BFE">
        <w:t>1</w:t>
      </w:r>
      <w:r w:rsidRPr="00C92F8D">
        <w:tab/>
      </w:r>
      <w:r w:rsidR="00D334A1">
        <w:t>3</w:t>
      </w:r>
      <w:r w:rsidR="001B3237">
        <w:t>4</w:t>
      </w:r>
      <w:r w:rsidRPr="00C92F8D">
        <w:tab/>
      </w:r>
      <w:r w:rsidRPr="00C92F8D">
        <w:tab/>
      </w:r>
      <w:r w:rsidRPr="00C92F8D">
        <w:tab/>
      </w:r>
      <w:r w:rsidR="003F0A2C">
        <w:tab/>
      </w:r>
      <w:r w:rsidR="003F0A2C">
        <w:tab/>
      </w:r>
      <w:r w:rsidR="00DC645C">
        <w:t xml:space="preserve">Individuals: </w:t>
      </w:r>
      <w:r w:rsidR="00FF67D5">
        <w:t>$300 Deduction from Taxable Income</w:t>
      </w:r>
      <w:r w:rsidRPr="00C92F8D">
        <w:tab/>
      </w:r>
      <w:r w:rsidR="006112E3" w:rsidRPr="006112E3">
        <w:t>1-21</w:t>
      </w:r>
      <w:r w:rsidRPr="00C92F8D">
        <w:tab/>
      </w:r>
      <w:r w:rsidR="00D334A1">
        <w:t>3</w:t>
      </w:r>
      <w:r w:rsidR="006112E3">
        <w:t>4</w:t>
      </w:r>
      <w:r w:rsidRPr="00C92F8D">
        <w:br/>
      </w:r>
      <w:r w:rsidRPr="00C92F8D">
        <w:tab/>
      </w:r>
      <w:r w:rsidRPr="00C92F8D">
        <w:tab/>
      </w:r>
      <w:r w:rsidRPr="00C92F8D">
        <w:tab/>
      </w:r>
      <w:r w:rsidR="00FF67D5">
        <w:t>Individuals: Unlimited</w:t>
      </w:r>
      <w:r w:rsidRPr="00C92F8D">
        <w:t xml:space="preserve"> Itemized Deduction </w:t>
      </w:r>
      <w:r w:rsidRPr="00BF3359">
        <w:t>for Individuals</w:t>
      </w:r>
      <w:r w:rsidRPr="00BF3359">
        <w:tab/>
      </w:r>
      <w:r w:rsidR="006112E3" w:rsidRPr="006112E3">
        <w:t>1-21</w:t>
      </w:r>
      <w:r w:rsidRPr="00BF3359">
        <w:tab/>
      </w:r>
      <w:r w:rsidR="00D334A1">
        <w:t>3</w:t>
      </w:r>
      <w:r w:rsidR="006112E3">
        <w:t>5</w:t>
      </w:r>
      <w:r w:rsidRPr="00BF3359">
        <w:br/>
      </w:r>
      <w:r w:rsidRPr="00BF3359">
        <w:tab/>
      </w:r>
      <w:r w:rsidRPr="00BF3359">
        <w:tab/>
      </w:r>
      <w:r w:rsidRPr="007A4A09">
        <w:t>Alternative Minimum Tax</w:t>
      </w:r>
      <w:r w:rsidRPr="007A4A09">
        <w:tab/>
      </w:r>
      <w:r w:rsidRPr="007A4A09">
        <w:tab/>
      </w:r>
      <w:r w:rsidRPr="00C92F8D">
        <w:t>1-3</w:t>
      </w:r>
      <w:r w:rsidR="007A4A09">
        <w:t>0</w:t>
      </w:r>
      <w:r w:rsidRPr="00C92F8D">
        <w:tab/>
      </w:r>
      <w:r w:rsidR="00D334A1">
        <w:t>3</w:t>
      </w:r>
      <w:r w:rsidR="001B3237">
        <w:t>5</w:t>
      </w:r>
      <w:r w:rsidRPr="00C92F8D">
        <w:br/>
      </w:r>
      <w:r w:rsidRPr="00C92F8D">
        <w:tab/>
      </w:r>
      <w:r w:rsidRPr="00C92F8D">
        <w:tab/>
      </w:r>
      <w:r w:rsidRPr="00C92F8D">
        <w:tab/>
      </w:r>
      <w:r w:rsidR="001B3237">
        <w:t>Minimum AMT Credit</w:t>
      </w:r>
      <w:r w:rsidRPr="00C92F8D">
        <w:tab/>
      </w:r>
      <w:r w:rsidRPr="00C92F8D">
        <w:tab/>
        <w:t>1-30</w:t>
      </w:r>
      <w:r w:rsidRPr="00C92F8D">
        <w:tab/>
      </w:r>
      <w:r w:rsidR="00D334A1">
        <w:t>3</w:t>
      </w:r>
      <w:r w:rsidR="001B3237">
        <w:t>5</w:t>
      </w:r>
      <w:r w:rsidRPr="00C92F8D">
        <w:br/>
      </w:r>
      <w:r w:rsidRPr="00C92F8D">
        <w:tab/>
      </w:r>
      <w:r w:rsidRPr="00C92F8D">
        <w:tab/>
      </w:r>
      <w:r w:rsidRPr="007A4A09">
        <w:t>Tax Credits</w:t>
      </w:r>
      <w:r w:rsidRPr="007A4A09">
        <w:tab/>
      </w:r>
      <w:r w:rsidRPr="007A4A09">
        <w:tab/>
      </w:r>
      <w:r w:rsidRPr="00C92F8D">
        <w:t>1-3</w:t>
      </w:r>
      <w:r w:rsidR="007A4A09">
        <w:t>1</w:t>
      </w:r>
      <w:r w:rsidRPr="00C92F8D">
        <w:tab/>
      </w:r>
      <w:r w:rsidR="00D334A1">
        <w:t>3</w:t>
      </w:r>
      <w:r w:rsidR="001B3237">
        <w:t>5</w:t>
      </w:r>
      <w:r w:rsidRPr="00C92F8D">
        <w:br/>
      </w:r>
      <w:r w:rsidRPr="00C92F8D">
        <w:tab/>
      </w:r>
      <w:r w:rsidRPr="00C92F8D">
        <w:tab/>
      </w:r>
      <w:r w:rsidRPr="00C92F8D">
        <w:tab/>
        <w:t>Employee Retention Credit</w:t>
      </w:r>
      <w:r w:rsidRPr="00C92F8D">
        <w:tab/>
      </w:r>
      <w:r w:rsidRPr="00C92F8D">
        <w:tab/>
      </w:r>
      <w:r w:rsidRPr="00C92F8D">
        <w:tab/>
      </w:r>
      <w:r w:rsidR="00D334A1">
        <w:t>3</w:t>
      </w:r>
      <w:r w:rsidR="001B3237">
        <w:t>5</w:t>
      </w:r>
      <w:r w:rsidRPr="00C92F8D">
        <w:tab/>
      </w:r>
      <w:r w:rsidR="0060500D">
        <w:br/>
      </w:r>
      <w:r w:rsidR="0060500D">
        <w:tab/>
        <w:t>Filing Requirements</w:t>
      </w:r>
      <w:r w:rsidR="00DB092D">
        <w:tab/>
      </w:r>
      <w:r w:rsidR="00DB092D">
        <w:tab/>
        <w:t>1-40</w:t>
      </w:r>
      <w:r w:rsidR="00DB092D">
        <w:tab/>
        <w:t>38</w:t>
      </w:r>
      <w:r w:rsidR="0060500D">
        <w:br/>
      </w:r>
      <w:r w:rsidR="0060500D">
        <w:tab/>
      </w:r>
      <w:r w:rsidR="0060500D">
        <w:tab/>
        <w:t>Due Dates for Filing Individual Returns (2019, 2020 2021 Returns)</w:t>
      </w:r>
      <w:r w:rsidR="00BA6526">
        <w:tab/>
      </w:r>
      <w:r w:rsidR="006112E3">
        <w:t>1-</w:t>
      </w:r>
      <w:r w:rsidR="00DB092D">
        <w:t>40</w:t>
      </w:r>
      <w:r w:rsidR="00BA6526">
        <w:tab/>
      </w:r>
      <w:r w:rsidR="00DB092D">
        <w:t>38</w:t>
      </w:r>
      <w:r w:rsidR="0060500D">
        <w:t xml:space="preserve">  </w:t>
      </w:r>
      <w:r w:rsidR="006112E3">
        <w:br/>
      </w:r>
    </w:p>
    <w:p w14:paraId="6308DB2B" w14:textId="3F4653EA" w:rsidR="00844354" w:rsidRDefault="00532621" w:rsidP="00532621">
      <w:pPr>
        <w:tabs>
          <w:tab w:val="left" w:pos="180"/>
          <w:tab w:val="left" w:pos="360"/>
          <w:tab w:val="left" w:pos="540"/>
          <w:tab w:val="left" w:pos="720"/>
          <w:tab w:val="left" w:pos="900"/>
          <w:tab w:val="left" w:pos="3150"/>
          <w:tab w:val="left" w:pos="6480"/>
          <w:tab w:val="left" w:pos="8010"/>
        </w:tabs>
      </w:pPr>
      <w:r w:rsidRPr="00025229">
        <w:rPr>
          <w:b/>
        </w:rPr>
        <w:t>Chapter 9: Taxation of Partnerships and Partners</w:t>
      </w:r>
      <w:r w:rsidR="001B3237">
        <w:rPr>
          <w:b/>
        </w:rPr>
        <w:tab/>
      </w:r>
      <w:r w:rsidR="00855F15" w:rsidRPr="00855F15">
        <w:rPr>
          <w:bCs/>
        </w:rPr>
        <w:t>9-1</w:t>
      </w:r>
      <w:r w:rsidR="001B3237">
        <w:rPr>
          <w:b/>
        </w:rPr>
        <w:tab/>
      </w:r>
      <w:r w:rsidR="001B3237" w:rsidRPr="001B3237">
        <w:t>38</w:t>
      </w:r>
      <w:r w:rsidRPr="00C92F8D">
        <w:tab/>
        <w:t>Deductibility of Business Interest Expense</w:t>
      </w:r>
      <w:r w:rsidRPr="00C92F8D">
        <w:tab/>
      </w:r>
      <w:r w:rsidRPr="00C92F8D">
        <w:tab/>
      </w:r>
      <w:r w:rsidR="001B3237" w:rsidRPr="001B3237">
        <w:t>38</w:t>
      </w:r>
      <w:r w:rsidRPr="00C92F8D">
        <w:br/>
      </w:r>
      <w:r w:rsidR="00C92F8D">
        <w:tab/>
      </w:r>
      <w:r w:rsidR="00C92F8D" w:rsidRPr="00ED3B0E">
        <w:tab/>
      </w:r>
      <w:r w:rsidR="00C92F8D">
        <w:t>Excess Business Loss Limitation</w:t>
      </w:r>
      <w:r w:rsidR="00D334A1">
        <w:t>s for Partnerships</w:t>
      </w:r>
      <w:r w:rsidR="00C92F8D">
        <w:tab/>
        <w:t>9-38</w:t>
      </w:r>
      <w:r w:rsidR="00C92F8D">
        <w:tab/>
      </w:r>
      <w:r w:rsidR="001B3237" w:rsidRPr="001B3237">
        <w:t>38</w:t>
      </w:r>
      <w:r w:rsidR="00D334A1" w:rsidRPr="00C92F8D">
        <w:br/>
      </w:r>
      <w:r w:rsidR="00C92F8D">
        <w:tab/>
      </w:r>
      <w:r w:rsidRPr="00C92F8D">
        <w:tab/>
      </w:r>
      <w:r w:rsidRPr="00F70520">
        <w:t>Deduction for Qualified Business Income</w:t>
      </w:r>
      <w:r w:rsidRPr="00F70520">
        <w:tab/>
      </w:r>
      <w:r w:rsidRPr="00C92F8D">
        <w:t>9-39</w:t>
      </w:r>
      <w:r w:rsidRPr="00C92F8D">
        <w:tab/>
      </w:r>
      <w:r w:rsidR="00D334A1">
        <w:t>3</w:t>
      </w:r>
      <w:r w:rsidR="0055749E">
        <w:t>8</w:t>
      </w:r>
      <w:r w:rsidR="00855F15">
        <w:br/>
      </w:r>
      <w:r w:rsidR="00D334A1" w:rsidRPr="00C92F8D">
        <w:br/>
      </w:r>
      <w:r w:rsidRPr="00025229">
        <w:rPr>
          <w:b/>
        </w:rPr>
        <w:t>Chapter</w:t>
      </w:r>
      <w:r w:rsidR="00815A08">
        <w:rPr>
          <w:b/>
        </w:rPr>
        <w:t xml:space="preserve"> </w:t>
      </w:r>
      <w:r w:rsidRPr="00025229">
        <w:rPr>
          <w:b/>
        </w:rPr>
        <w:t>11</w:t>
      </w:r>
      <w:r w:rsidR="003A72C0">
        <w:rPr>
          <w:b/>
        </w:rPr>
        <w:t>: S C</w:t>
      </w:r>
      <w:r w:rsidR="00313E45">
        <w:rPr>
          <w:b/>
        </w:rPr>
        <w:t xml:space="preserve">orporations: General Rules </w:t>
      </w:r>
      <w:r w:rsidR="003F0A2C">
        <w:rPr>
          <w:b/>
        </w:rPr>
        <w:tab/>
      </w:r>
      <w:r w:rsidR="00855F15">
        <w:t>11</w:t>
      </w:r>
      <w:r w:rsidR="003A72C0" w:rsidRPr="003A72C0">
        <w:t>-</w:t>
      </w:r>
      <w:r w:rsidR="00855F15">
        <w:t>1</w:t>
      </w:r>
      <w:r w:rsidR="003A72C0">
        <w:rPr>
          <w:b/>
        </w:rPr>
        <w:tab/>
      </w:r>
      <w:r w:rsidR="00D334A1">
        <w:t>3</w:t>
      </w:r>
      <w:r w:rsidR="001B3237">
        <w:t>9</w:t>
      </w:r>
      <w:r w:rsidR="006112E3">
        <w:br/>
      </w:r>
      <w:r w:rsidRPr="00C92F8D">
        <w:tab/>
      </w:r>
      <w:r w:rsidRPr="00C92F8D">
        <w:tab/>
      </w:r>
      <w:r w:rsidRPr="00F70520">
        <w:t>Qualified Business Income</w:t>
      </w:r>
      <w:r w:rsidR="001B3237">
        <w:t xml:space="preserve"> Deduction</w:t>
      </w:r>
      <w:r w:rsidRPr="00F70520">
        <w:tab/>
      </w:r>
      <w:r w:rsidRPr="00C92F8D">
        <w:t>11-22</w:t>
      </w:r>
      <w:r w:rsidRPr="00C92F8D">
        <w:tab/>
      </w:r>
      <w:r w:rsidR="00D334A1">
        <w:t>3</w:t>
      </w:r>
      <w:r w:rsidR="001B3237">
        <w:t>9</w:t>
      </w:r>
      <w:r w:rsidR="00D334A1" w:rsidRPr="00C92F8D">
        <w:br/>
      </w:r>
      <w:r w:rsidRPr="00C92F8D">
        <w:tab/>
      </w:r>
      <w:r w:rsidRPr="00C92F8D">
        <w:tab/>
      </w:r>
      <w:r w:rsidRPr="00F70520">
        <w:t>Limitation on Business Losses</w:t>
      </w:r>
      <w:r w:rsidR="003E7383" w:rsidRPr="00F70520">
        <w:tab/>
      </w:r>
      <w:r w:rsidR="00F70520">
        <w:tab/>
      </w:r>
      <w:r w:rsidR="003E7383" w:rsidRPr="00C92F8D">
        <w:t>11-</w:t>
      </w:r>
      <w:r w:rsidR="00AD5425">
        <w:t>39</w:t>
      </w:r>
      <w:r w:rsidR="003E7383" w:rsidRPr="00C92F8D">
        <w:tab/>
      </w:r>
      <w:r w:rsidR="00D334A1">
        <w:t>3</w:t>
      </w:r>
      <w:r w:rsidR="001B3237">
        <w:t>9</w:t>
      </w:r>
    </w:p>
    <w:p w14:paraId="39E80C28" w14:textId="009D7EC2" w:rsidR="00532621" w:rsidRPr="00C92F8D" w:rsidRDefault="00532621" w:rsidP="00532621">
      <w:pPr>
        <w:tabs>
          <w:tab w:val="left" w:pos="180"/>
          <w:tab w:val="left" w:pos="360"/>
          <w:tab w:val="left" w:pos="540"/>
          <w:tab w:val="left" w:pos="720"/>
          <w:tab w:val="left" w:pos="900"/>
          <w:tab w:val="left" w:pos="3150"/>
          <w:tab w:val="left" w:pos="6480"/>
          <w:tab w:val="left" w:pos="8010"/>
        </w:tabs>
      </w:pPr>
    </w:p>
    <w:p w14:paraId="28E263FE" w14:textId="465CB3F3" w:rsidR="004E08CB" w:rsidRPr="00A956DF" w:rsidRDefault="003E7383" w:rsidP="004E08CB">
      <w:pPr>
        <w:rPr>
          <w:rFonts w:ascii="Calibri" w:hAnsi="Calibri"/>
          <w:b/>
          <w:sz w:val="12"/>
        </w:rPr>
      </w:pPr>
      <w:r w:rsidRPr="00F70520">
        <w:rPr>
          <w:rFonts w:ascii="Calibri" w:hAnsi="Calibri"/>
          <w:sz w:val="20"/>
        </w:rPr>
        <w:br w:type="column"/>
      </w:r>
    </w:p>
    <w:p w14:paraId="48F7EC0B" w14:textId="3B236ED2" w:rsidR="00B54F53" w:rsidRPr="006532F3" w:rsidRDefault="00B54F53" w:rsidP="00815628">
      <w:pPr>
        <w:pStyle w:val="border"/>
        <w:rPr>
          <w:sz w:val="24"/>
        </w:rPr>
      </w:pPr>
      <w:r w:rsidRPr="006532F3">
        <w:rPr>
          <w:sz w:val="24"/>
        </w:rPr>
        <w:t>CHAPTER 1:</w:t>
      </w:r>
      <w:r w:rsidR="001C43F5" w:rsidRPr="006532F3">
        <w:rPr>
          <w:sz w:val="24"/>
        </w:rPr>
        <w:tab/>
      </w:r>
      <w:r w:rsidR="00815628" w:rsidRPr="006532F3">
        <w:rPr>
          <w:sz w:val="24"/>
        </w:rPr>
        <w:t>INCOME TAXATION OF CORPORATIONS</w:t>
      </w:r>
    </w:p>
    <w:p w14:paraId="33C9C695" w14:textId="77777777" w:rsidR="00ED1B36" w:rsidRDefault="00ED1B36" w:rsidP="00ED1B36">
      <w:pPr>
        <w:rPr>
          <w:b/>
          <w:sz w:val="24"/>
          <w:szCs w:val="24"/>
        </w:rPr>
      </w:pPr>
    </w:p>
    <w:p w14:paraId="6880E478" w14:textId="1B5528A7" w:rsidR="00ED1B36" w:rsidRPr="002C6EF7" w:rsidRDefault="00ED1B36" w:rsidP="00ED1B36">
      <w:pPr>
        <w:rPr>
          <w:sz w:val="24"/>
          <w:szCs w:val="24"/>
        </w:rPr>
      </w:pPr>
      <w:r w:rsidRPr="0012776D">
        <w:rPr>
          <w:b/>
          <w:sz w:val="24"/>
          <w:szCs w:val="24"/>
        </w:rPr>
        <w:t xml:space="preserve">Note:  </w:t>
      </w:r>
      <w:r w:rsidRPr="002C6EF7">
        <w:rPr>
          <w:sz w:val="24"/>
          <w:szCs w:val="24"/>
        </w:rPr>
        <w:t xml:space="preserve">Several topics </w:t>
      </w:r>
      <w:r w:rsidR="00710949">
        <w:rPr>
          <w:sz w:val="24"/>
          <w:szCs w:val="24"/>
        </w:rPr>
        <w:t xml:space="preserve">below </w:t>
      </w:r>
      <w:r w:rsidRPr="002C6EF7">
        <w:rPr>
          <w:sz w:val="24"/>
          <w:szCs w:val="24"/>
        </w:rPr>
        <w:t xml:space="preserve">are not specifically discussed in the text but are relevant in computing </w:t>
      </w:r>
      <w:r w:rsidR="00844354">
        <w:rPr>
          <w:sz w:val="24"/>
          <w:szCs w:val="24"/>
        </w:rPr>
        <w:t xml:space="preserve">the taxable income of a business </w:t>
      </w:r>
      <w:r w:rsidR="00805EE5">
        <w:rPr>
          <w:sz w:val="24"/>
          <w:szCs w:val="24"/>
        </w:rPr>
        <w:t>(</w:t>
      </w:r>
      <w:r w:rsidR="00A956DF">
        <w:rPr>
          <w:sz w:val="24"/>
          <w:szCs w:val="24"/>
        </w:rPr>
        <w:t xml:space="preserve">i.e., </w:t>
      </w:r>
      <w:r w:rsidR="00371EE1">
        <w:rPr>
          <w:sz w:val="24"/>
          <w:szCs w:val="24"/>
        </w:rPr>
        <w:t xml:space="preserve">the taxable income of </w:t>
      </w:r>
      <w:r w:rsidR="00805EE5">
        <w:rPr>
          <w:sz w:val="24"/>
          <w:szCs w:val="24"/>
        </w:rPr>
        <w:t xml:space="preserve">C corporations, S </w:t>
      </w:r>
      <w:r w:rsidR="00371EE1">
        <w:rPr>
          <w:sz w:val="24"/>
          <w:szCs w:val="24"/>
        </w:rPr>
        <w:t>c</w:t>
      </w:r>
      <w:r w:rsidR="00805EE5">
        <w:rPr>
          <w:sz w:val="24"/>
          <w:szCs w:val="24"/>
        </w:rPr>
        <w:t xml:space="preserve">orporations, </w:t>
      </w:r>
      <w:r w:rsidR="0050639A">
        <w:rPr>
          <w:sz w:val="24"/>
          <w:szCs w:val="24"/>
        </w:rPr>
        <w:t>partnerships,</w:t>
      </w:r>
      <w:r w:rsidR="00805EE5">
        <w:rPr>
          <w:sz w:val="24"/>
          <w:szCs w:val="24"/>
        </w:rPr>
        <w:t xml:space="preserve"> and self-employed taxpayers</w:t>
      </w:r>
      <w:r w:rsidR="00DE7DB7">
        <w:rPr>
          <w:sz w:val="24"/>
          <w:szCs w:val="24"/>
        </w:rPr>
        <w:t>)</w:t>
      </w:r>
      <w:r w:rsidRPr="002C6EF7">
        <w:rPr>
          <w:sz w:val="24"/>
          <w:szCs w:val="24"/>
        </w:rPr>
        <w:t xml:space="preserve">.  </w:t>
      </w:r>
      <w:r w:rsidR="00501118">
        <w:rPr>
          <w:sz w:val="24"/>
          <w:szCs w:val="24"/>
        </w:rPr>
        <w:t>These topics</w:t>
      </w:r>
      <w:r w:rsidRPr="002C6EF7">
        <w:rPr>
          <w:sz w:val="24"/>
          <w:szCs w:val="24"/>
        </w:rPr>
        <w:t xml:space="preserve"> generally apply to all businesses.</w:t>
      </w:r>
    </w:p>
    <w:p w14:paraId="110B65D2" w14:textId="77777777" w:rsidR="00446B7F" w:rsidRDefault="00446B7F" w:rsidP="00ED1B36">
      <w:pPr>
        <w:rPr>
          <w:b/>
          <w:sz w:val="24"/>
          <w:szCs w:val="24"/>
        </w:rPr>
      </w:pPr>
    </w:p>
    <w:p w14:paraId="5EC78EC8" w14:textId="7C04AA6A" w:rsidR="00DD3C31" w:rsidRDefault="00446B7F" w:rsidP="00ED1B36">
      <w:pPr>
        <w:rPr>
          <w:b/>
          <w:sz w:val="24"/>
          <w:szCs w:val="24"/>
        </w:rPr>
      </w:pPr>
      <w:r>
        <w:rPr>
          <w:b/>
          <w:sz w:val="24"/>
          <w:szCs w:val="24"/>
        </w:rPr>
        <w:t>Page 1-</w:t>
      </w:r>
      <w:r w:rsidR="0010713C">
        <w:rPr>
          <w:b/>
          <w:sz w:val="24"/>
          <w:szCs w:val="24"/>
        </w:rPr>
        <w:t>8</w:t>
      </w:r>
      <w:r>
        <w:rPr>
          <w:b/>
          <w:sz w:val="24"/>
          <w:szCs w:val="24"/>
        </w:rPr>
        <w:t xml:space="preserve"> </w:t>
      </w:r>
      <w:r w:rsidR="000F1F47">
        <w:rPr>
          <w:b/>
          <w:sz w:val="24"/>
          <w:szCs w:val="24"/>
        </w:rPr>
        <w:t xml:space="preserve"> </w:t>
      </w:r>
      <w:r w:rsidR="00DD3C31">
        <w:rPr>
          <w:b/>
          <w:sz w:val="24"/>
          <w:szCs w:val="24"/>
        </w:rPr>
        <w:t>Comparison of Corporate and Individual Income Taxation</w:t>
      </w:r>
    </w:p>
    <w:p w14:paraId="06810BC1" w14:textId="77777777" w:rsidR="00DD3C31" w:rsidRDefault="00DD3C31" w:rsidP="00ED1B36">
      <w:pPr>
        <w:rPr>
          <w:b/>
          <w:sz w:val="24"/>
          <w:szCs w:val="24"/>
        </w:rPr>
      </w:pPr>
    </w:p>
    <w:p w14:paraId="7D4DE946" w14:textId="3188D338" w:rsidR="00446B7F" w:rsidRDefault="00446B7F" w:rsidP="00ED1B36">
      <w:pPr>
        <w:rPr>
          <w:b/>
          <w:sz w:val="24"/>
          <w:szCs w:val="24"/>
        </w:rPr>
      </w:pPr>
      <w:r>
        <w:rPr>
          <w:b/>
          <w:sz w:val="24"/>
          <w:szCs w:val="24"/>
        </w:rPr>
        <w:t>Gross Income</w:t>
      </w:r>
    </w:p>
    <w:p w14:paraId="264CB475" w14:textId="18D17B3E" w:rsidR="00DD3C31" w:rsidRDefault="00DD3C31" w:rsidP="00ED1B36">
      <w:pPr>
        <w:rPr>
          <w:b/>
          <w:sz w:val="24"/>
          <w:szCs w:val="24"/>
        </w:rPr>
      </w:pPr>
    </w:p>
    <w:p w14:paraId="71E9331D" w14:textId="17492E5F" w:rsidR="00ED708E" w:rsidRPr="00ED708E" w:rsidRDefault="00371EE1" w:rsidP="00ED708E">
      <w:pPr>
        <w:overflowPunct/>
        <w:autoSpaceDE/>
        <w:autoSpaceDN/>
        <w:adjustRightInd/>
        <w:jc w:val="both"/>
        <w:textAlignment w:val="auto"/>
        <w:rPr>
          <w:bCs/>
          <w:sz w:val="24"/>
        </w:rPr>
      </w:pPr>
      <w:r w:rsidRPr="00371EE1">
        <w:rPr>
          <w:b/>
          <w:sz w:val="24"/>
        </w:rPr>
        <w:t xml:space="preserve">Stimulus Payments (also known as Recovery Rebates or Economic Impact Payments).  </w:t>
      </w:r>
      <w:r w:rsidR="00ED708E" w:rsidRPr="00ED708E">
        <w:rPr>
          <w:bCs/>
          <w:sz w:val="24"/>
        </w:rPr>
        <w:t xml:space="preserve">From the outset of the pandemic, Congress has </w:t>
      </w:r>
      <w:r w:rsidR="00E457D1">
        <w:rPr>
          <w:bCs/>
          <w:sz w:val="24"/>
        </w:rPr>
        <w:t>authorized</w:t>
      </w:r>
      <w:r w:rsidR="00ED708E" w:rsidRPr="00ED708E">
        <w:rPr>
          <w:bCs/>
          <w:sz w:val="24"/>
        </w:rPr>
        <w:t xml:space="preserve"> several direct payments from the government to individuals.  For 2020, the CARES Act provided for a payment to most Americans, generally referred to as a “recovery rebate.”  Such payments were subject to phaseout at higher levels of AGI.  Technically, the payments were an advanced payment of the “recovery rebate” credit that phased out at higher AGI levels.  </w:t>
      </w:r>
      <w:r w:rsidR="000763BD">
        <w:rPr>
          <w:bCs/>
          <w:sz w:val="24"/>
        </w:rPr>
        <w:t>T</w:t>
      </w:r>
      <w:r w:rsidR="00ED708E" w:rsidRPr="00ED708E">
        <w:rPr>
          <w:bCs/>
          <w:sz w:val="24"/>
        </w:rPr>
        <w:t>he payments were not</w:t>
      </w:r>
      <w:r w:rsidR="00844354">
        <w:rPr>
          <w:bCs/>
          <w:sz w:val="24"/>
        </w:rPr>
        <w:t xml:space="preserve"> considered </w:t>
      </w:r>
      <w:r w:rsidR="00ED708E" w:rsidRPr="00ED708E">
        <w:rPr>
          <w:bCs/>
          <w:sz w:val="24"/>
        </w:rPr>
        <w:t>taxable</w:t>
      </w:r>
      <w:r w:rsidR="00844354">
        <w:rPr>
          <w:bCs/>
          <w:sz w:val="24"/>
        </w:rPr>
        <w:t xml:space="preserve"> to the </w:t>
      </w:r>
      <w:r w:rsidR="00E457D1">
        <w:rPr>
          <w:bCs/>
          <w:sz w:val="24"/>
        </w:rPr>
        <w:t>recipient</w:t>
      </w:r>
      <w:r w:rsidR="00ED708E" w:rsidRPr="00ED708E">
        <w:rPr>
          <w:bCs/>
          <w:sz w:val="24"/>
        </w:rPr>
        <w:t xml:space="preserve">.  </w:t>
      </w:r>
      <w:r w:rsidR="00E457D1">
        <w:rPr>
          <w:bCs/>
          <w:sz w:val="24"/>
        </w:rPr>
        <w:t xml:space="preserve">As a result, </w:t>
      </w:r>
      <w:r w:rsidR="00ED708E" w:rsidRPr="00ED708E">
        <w:rPr>
          <w:bCs/>
          <w:sz w:val="24"/>
        </w:rPr>
        <w:t xml:space="preserve">in 2020, individual taxpayers received a first round of payments of $1,200 while joint filers received $2,400 with another $500 for </w:t>
      </w:r>
      <w:r w:rsidR="00E457D1">
        <w:rPr>
          <w:bCs/>
          <w:sz w:val="24"/>
        </w:rPr>
        <w:t xml:space="preserve">a </w:t>
      </w:r>
      <w:r w:rsidR="00ED708E" w:rsidRPr="00ED708E">
        <w:rPr>
          <w:bCs/>
          <w:sz w:val="24"/>
        </w:rPr>
        <w:t>child under age 17.</w:t>
      </w:r>
    </w:p>
    <w:p w14:paraId="1A5AD8C6" w14:textId="77777777" w:rsidR="00ED708E" w:rsidRPr="00ED708E" w:rsidRDefault="00ED708E" w:rsidP="00ED708E">
      <w:pPr>
        <w:overflowPunct/>
        <w:autoSpaceDE/>
        <w:autoSpaceDN/>
        <w:adjustRightInd/>
        <w:jc w:val="both"/>
        <w:textAlignment w:val="auto"/>
        <w:rPr>
          <w:bCs/>
          <w:sz w:val="24"/>
        </w:rPr>
      </w:pPr>
    </w:p>
    <w:p w14:paraId="2A3AD383" w14:textId="4FD41329" w:rsidR="00ED708E" w:rsidRDefault="00E457D1" w:rsidP="00ED708E">
      <w:pPr>
        <w:overflowPunct/>
        <w:autoSpaceDE/>
        <w:autoSpaceDN/>
        <w:adjustRightInd/>
        <w:jc w:val="both"/>
        <w:textAlignment w:val="auto"/>
        <w:rPr>
          <w:bCs/>
          <w:sz w:val="24"/>
        </w:rPr>
      </w:pPr>
      <w:r>
        <w:rPr>
          <w:bCs/>
          <w:sz w:val="24"/>
        </w:rPr>
        <w:t>The</w:t>
      </w:r>
      <w:r w:rsidR="00ED708E" w:rsidRPr="00ED708E">
        <w:rPr>
          <w:bCs/>
          <w:sz w:val="24"/>
        </w:rPr>
        <w:t xml:space="preserve"> Consolidation Appropriations Act (CAA) </w:t>
      </w:r>
      <w:r w:rsidR="000A2489">
        <w:rPr>
          <w:bCs/>
          <w:sz w:val="24"/>
        </w:rPr>
        <w:t>authorized</w:t>
      </w:r>
      <w:r w:rsidR="00ED708E" w:rsidRPr="00ED708E">
        <w:rPr>
          <w:bCs/>
          <w:sz w:val="24"/>
        </w:rPr>
        <w:t xml:space="preserve"> a second round of payments</w:t>
      </w:r>
      <w:r>
        <w:rPr>
          <w:bCs/>
          <w:sz w:val="24"/>
        </w:rPr>
        <w:t xml:space="preserve"> in 2020</w:t>
      </w:r>
      <w:r w:rsidR="00ED708E" w:rsidRPr="00ED708E">
        <w:rPr>
          <w:bCs/>
          <w:sz w:val="24"/>
        </w:rPr>
        <w:t xml:space="preserve">.  Under the CAA, individual taxpayers received a payment of $600 while joint filers received $1,200 with another $600 for each child under age 17.  </w:t>
      </w:r>
      <w:r w:rsidR="00F04BC1" w:rsidRPr="00ED708E">
        <w:rPr>
          <w:bCs/>
          <w:sz w:val="24"/>
        </w:rPr>
        <w:t>Like</w:t>
      </w:r>
      <w:r w:rsidR="00ED708E" w:rsidRPr="00ED708E">
        <w:rPr>
          <w:bCs/>
          <w:sz w:val="24"/>
        </w:rPr>
        <w:t xml:space="preserve"> the payments of the CARES Act, the CAA payments were an advance payment of the recovery rebate credit that phased out at higher income levels.  Like the CARES payments, the CAA payments were not </w:t>
      </w:r>
      <w:r>
        <w:rPr>
          <w:bCs/>
          <w:sz w:val="24"/>
        </w:rPr>
        <w:t xml:space="preserve">considered </w:t>
      </w:r>
      <w:r w:rsidR="00ED708E" w:rsidRPr="00ED708E">
        <w:rPr>
          <w:bCs/>
          <w:sz w:val="24"/>
        </w:rPr>
        <w:t>taxable</w:t>
      </w:r>
      <w:r>
        <w:rPr>
          <w:bCs/>
          <w:sz w:val="24"/>
        </w:rPr>
        <w:t xml:space="preserve"> income to the recipient</w:t>
      </w:r>
      <w:r w:rsidR="00ED708E" w:rsidRPr="00ED708E">
        <w:rPr>
          <w:bCs/>
          <w:sz w:val="24"/>
        </w:rPr>
        <w:t xml:space="preserve">. </w:t>
      </w:r>
    </w:p>
    <w:p w14:paraId="47F02927" w14:textId="77777777" w:rsidR="00ED708E" w:rsidRPr="00ED708E" w:rsidRDefault="00ED708E" w:rsidP="00ED708E">
      <w:pPr>
        <w:overflowPunct/>
        <w:autoSpaceDE/>
        <w:autoSpaceDN/>
        <w:adjustRightInd/>
        <w:jc w:val="both"/>
        <w:textAlignment w:val="auto"/>
        <w:rPr>
          <w:bCs/>
          <w:sz w:val="24"/>
        </w:rPr>
      </w:pPr>
    </w:p>
    <w:p w14:paraId="35232DA9" w14:textId="2A6CF090" w:rsidR="00371EE1" w:rsidRDefault="00ED708E" w:rsidP="00ED708E">
      <w:pPr>
        <w:overflowPunct/>
        <w:autoSpaceDE/>
        <w:autoSpaceDN/>
        <w:adjustRightInd/>
        <w:jc w:val="both"/>
        <w:textAlignment w:val="auto"/>
        <w:rPr>
          <w:bCs/>
          <w:sz w:val="24"/>
        </w:rPr>
      </w:pPr>
      <w:r w:rsidRPr="00ED708E">
        <w:rPr>
          <w:bCs/>
          <w:sz w:val="24"/>
        </w:rPr>
        <w:t xml:space="preserve">For 2021, ARPA, like both the CARES </w:t>
      </w:r>
      <w:r w:rsidR="00F04BC1">
        <w:rPr>
          <w:bCs/>
          <w:sz w:val="24"/>
        </w:rPr>
        <w:t xml:space="preserve">Act </w:t>
      </w:r>
      <w:r w:rsidRPr="00ED708E">
        <w:rPr>
          <w:bCs/>
          <w:sz w:val="24"/>
        </w:rPr>
        <w:t xml:space="preserve">and the CAA, provided for a third round of stimulus payments.  </w:t>
      </w:r>
      <w:r w:rsidR="00904BF2">
        <w:rPr>
          <w:bCs/>
          <w:sz w:val="24"/>
        </w:rPr>
        <w:t>In addition</w:t>
      </w:r>
      <w:r w:rsidRPr="00ED708E">
        <w:rPr>
          <w:bCs/>
          <w:sz w:val="24"/>
        </w:rPr>
        <w:t xml:space="preserve">, ARPA </w:t>
      </w:r>
      <w:r w:rsidR="00904BF2">
        <w:rPr>
          <w:bCs/>
          <w:sz w:val="24"/>
        </w:rPr>
        <w:t>increased the amounts</w:t>
      </w:r>
      <w:r w:rsidRPr="00ED708E">
        <w:rPr>
          <w:bCs/>
          <w:sz w:val="24"/>
        </w:rPr>
        <w:t>.  For 2021, ARPA provide</w:t>
      </w:r>
      <w:r w:rsidR="00904BF2">
        <w:rPr>
          <w:bCs/>
          <w:sz w:val="24"/>
        </w:rPr>
        <w:t>s</w:t>
      </w:r>
      <w:r w:rsidRPr="00ED708E">
        <w:rPr>
          <w:bCs/>
          <w:sz w:val="24"/>
        </w:rPr>
        <w:t xml:space="preserve"> individuals with a payment of $1,400 ($2,800 for married taxpayers filing jointly) plus another $1,400 for each dependent (as defined in Code §152).  Moreover, for this purpose, ARPA expands the definition of dependents to include college students and “qualifying relatives” who are claimed as dependents. The inclusion of dependents is significant. </w:t>
      </w:r>
      <w:r w:rsidR="00904BF2">
        <w:rPr>
          <w:bCs/>
          <w:sz w:val="24"/>
        </w:rPr>
        <w:t xml:space="preserve"> T</w:t>
      </w:r>
      <w:r w:rsidR="00E457D1">
        <w:rPr>
          <w:bCs/>
          <w:sz w:val="24"/>
        </w:rPr>
        <w:t>he CARES Act provided</w:t>
      </w:r>
      <w:r w:rsidRPr="00ED708E">
        <w:rPr>
          <w:bCs/>
          <w:sz w:val="24"/>
        </w:rPr>
        <w:t xml:space="preserve"> $500 </w:t>
      </w:r>
      <w:r w:rsidR="00E457D1">
        <w:rPr>
          <w:bCs/>
          <w:sz w:val="24"/>
        </w:rPr>
        <w:t>to</w:t>
      </w:r>
      <w:r w:rsidRPr="00ED708E">
        <w:rPr>
          <w:bCs/>
          <w:sz w:val="24"/>
        </w:rPr>
        <w:t xml:space="preserve"> dependents for which the $2,000 child tax credit could be claimed (i.e., those dependents under age 17 as of the last day of the tax year)</w:t>
      </w:r>
      <w:r w:rsidR="00904BF2">
        <w:rPr>
          <w:bCs/>
          <w:sz w:val="24"/>
        </w:rPr>
        <w:t>.  In contrast</w:t>
      </w:r>
      <w:r w:rsidRPr="00ED708E">
        <w:rPr>
          <w:bCs/>
          <w:sz w:val="24"/>
        </w:rPr>
        <w:t xml:space="preserve">, </w:t>
      </w:r>
      <w:r w:rsidR="00E457D1">
        <w:rPr>
          <w:bCs/>
          <w:sz w:val="24"/>
        </w:rPr>
        <w:t>ARPA</w:t>
      </w:r>
      <w:r w:rsidR="00904BF2">
        <w:rPr>
          <w:bCs/>
          <w:sz w:val="24"/>
        </w:rPr>
        <w:t xml:space="preserve"> authorizes</w:t>
      </w:r>
      <w:r w:rsidRPr="00ED708E">
        <w:rPr>
          <w:bCs/>
          <w:sz w:val="24"/>
        </w:rPr>
        <w:t xml:space="preserve"> </w:t>
      </w:r>
      <w:r w:rsidR="00904BF2" w:rsidRPr="00ED708E">
        <w:rPr>
          <w:bCs/>
          <w:sz w:val="24"/>
        </w:rPr>
        <w:t xml:space="preserve">stimulus checks </w:t>
      </w:r>
      <w:r w:rsidR="00904BF2">
        <w:rPr>
          <w:bCs/>
          <w:sz w:val="24"/>
        </w:rPr>
        <w:t xml:space="preserve">of </w:t>
      </w:r>
      <w:r w:rsidRPr="00ED708E">
        <w:rPr>
          <w:bCs/>
          <w:sz w:val="24"/>
        </w:rPr>
        <w:t xml:space="preserve">$1,400 </w:t>
      </w:r>
      <w:r w:rsidR="00904BF2">
        <w:rPr>
          <w:bCs/>
          <w:sz w:val="24"/>
        </w:rPr>
        <w:t>for</w:t>
      </w:r>
      <w:r w:rsidRPr="00ED708E">
        <w:rPr>
          <w:bCs/>
          <w:sz w:val="24"/>
        </w:rPr>
        <w:t xml:space="preserve"> all dependents. </w:t>
      </w:r>
      <w:r w:rsidR="00904BF2">
        <w:rPr>
          <w:bCs/>
          <w:sz w:val="24"/>
        </w:rPr>
        <w:t xml:space="preserve"> </w:t>
      </w:r>
      <w:r w:rsidRPr="00ED708E">
        <w:rPr>
          <w:bCs/>
          <w:sz w:val="24"/>
        </w:rPr>
        <w:t xml:space="preserve">Like its predecessors, the </w:t>
      </w:r>
      <w:r w:rsidR="00904BF2">
        <w:rPr>
          <w:bCs/>
          <w:sz w:val="24"/>
        </w:rPr>
        <w:t xml:space="preserve">ARPA </w:t>
      </w:r>
      <w:r w:rsidRPr="00ED708E">
        <w:rPr>
          <w:bCs/>
          <w:sz w:val="24"/>
        </w:rPr>
        <w:t xml:space="preserve">credit is fully refundable so taxpayers will receive </w:t>
      </w:r>
      <w:r w:rsidR="00904BF2">
        <w:rPr>
          <w:bCs/>
          <w:sz w:val="24"/>
        </w:rPr>
        <w:t>the</w:t>
      </w:r>
      <w:r w:rsidRPr="00ED708E">
        <w:rPr>
          <w:bCs/>
          <w:sz w:val="24"/>
        </w:rPr>
        <w:t xml:space="preserve"> credit when filing their 2021 Form 1040 regardless of whether any tax is owed.  Like the 2020 payments, the 2021 payments are not taxable</w:t>
      </w:r>
      <w:r>
        <w:rPr>
          <w:bCs/>
          <w:sz w:val="24"/>
        </w:rPr>
        <w:t xml:space="preserve"> </w:t>
      </w:r>
      <w:r w:rsidRPr="00ED708E">
        <w:rPr>
          <w:bCs/>
          <w:sz w:val="24"/>
        </w:rPr>
        <w:t>income to the recipient.  The Act did not provide any equivalent payment or credit for businesses (e.g.</w:t>
      </w:r>
      <w:r w:rsidR="00904BF2">
        <w:rPr>
          <w:bCs/>
          <w:sz w:val="24"/>
        </w:rPr>
        <w:t>,</w:t>
      </w:r>
      <w:r w:rsidRPr="00ED708E">
        <w:rPr>
          <w:bCs/>
          <w:sz w:val="24"/>
        </w:rPr>
        <w:t xml:space="preserve"> C or S corporations, partnerships).</w:t>
      </w:r>
    </w:p>
    <w:p w14:paraId="16EEAB34" w14:textId="5D2AA874" w:rsidR="00ED708E" w:rsidRDefault="00ED708E" w:rsidP="00ED708E">
      <w:pPr>
        <w:overflowPunct/>
        <w:autoSpaceDE/>
        <w:autoSpaceDN/>
        <w:adjustRightInd/>
        <w:jc w:val="both"/>
        <w:textAlignment w:val="auto"/>
        <w:rPr>
          <w:bCs/>
          <w:sz w:val="24"/>
        </w:rPr>
      </w:pPr>
    </w:p>
    <w:p w14:paraId="1A63C836" w14:textId="6441EAB6" w:rsidR="00ED708E" w:rsidRDefault="00ED708E" w:rsidP="00ED708E">
      <w:pPr>
        <w:pStyle w:val="NormalWeb"/>
        <w:shd w:val="clear" w:color="auto" w:fill="FFFFFF"/>
        <w:spacing w:before="0" w:after="0"/>
      </w:pPr>
      <w:r w:rsidRPr="00B85768">
        <w:t xml:space="preserve">The amount of </w:t>
      </w:r>
      <w:r w:rsidR="00B602BD" w:rsidRPr="00B85768">
        <w:t>stimulus payment</w:t>
      </w:r>
      <w:r w:rsidR="00B602BD">
        <w:t>s</w:t>
      </w:r>
      <w:r w:rsidR="00B602BD" w:rsidRPr="00B85768">
        <w:t xml:space="preserve"> </w:t>
      </w:r>
      <w:r w:rsidRPr="00B85768">
        <w:t>that a person receives</w:t>
      </w:r>
      <w:r w:rsidR="00B602BD">
        <w:t xml:space="preserve"> under ARPA (2021) </w:t>
      </w:r>
      <w:r>
        <w:t>phases out based</w:t>
      </w:r>
      <w:r w:rsidRPr="00B85768">
        <w:t xml:space="preserve"> on the individual’s filing status and AGI.  </w:t>
      </w:r>
      <w:r w:rsidR="00904BF2">
        <w:t>As a result, fewer</w:t>
      </w:r>
      <w:r w:rsidRPr="0025510F">
        <w:t xml:space="preserve"> individuals are likely to qualify for </w:t>
      </w:r>
      <w:r w:rsidR="00B602BD">
        <w:t>the ARPA</w:t>
      </w:r>
      <w:r w:rsidR="00904BF2">
        <w:t xml:space="preserve"> </w:t>
      </w:r>
      <w:r w:rsidRPr="0025510F">
        <w:t>payment</w:t>
      </w:r>
      <w:r w:rsidR="00904BF2">
        <w:t xml:space="preserve">s.  </w:t>
      </w:r>
      <w:r w:rsidR="00B602BD">
        <w:t xml:space="preserve">As seen </w:t>
      </w:r>
      <w:r w:rsidR="00F04BC1">
        <w:t>in the table</w:t>
      </w:r>
      <w:r w:rsidR="00B602BD">
        <w:t xml:space="preserve"> below, the</w:t>
      </w:r>
      <w:r w:rsidRPr="0025510F">
        <w:t xml:space="preserve"> AGI thresholds </w:t>
      </w:r>
      <w:r w:rsidR="00B602BD">
        <w:t>at which phase out begins start</w:t>
      </w:r>
      <w:r w:rsidRPr="0025510F">
        <w:t xml:space="preserve"> at the same income levels</w:t>
      </w:r>
      <w:r w:rsidR="00B602BD">
        <w:t xml:space="preserve"> as previous payments</w:t>
      </w:r>
      <w:r w:rsidRPr="0025510F">
        <w:t>, but the range is much narrower than with prior stimulus payments</w:t>
      </w:r>
      <w:r>
        <w:t>.</w:t>
      </w:r>
    </w:p>
    <w:p w14:paraId="2E9DBA15" w14:textId="77777777" w:rsidR="00A76B16" w:rsidRPr="00B85768" w:rsidRDefault="00A76B16" w:rsidP="00ED708E">
      <w:pPr>
        <w:pStyle w:val="NormalWeb"/>
        <w:shd w:val="clear" w:color="auto" w:fill="FFFFFF"/>
        <w:spacing w:before="0" w:after="0"/>
        <w:rPr>
          <w:rFonts w:ascii="Calibri" w:hAnsi="Calibri" w:cs="Calibri"/>
          <w:sz w:val="16"/>
        </w:rPr>
      </w:pPr>
    </w:p>
    <w:p w14:paraId="01046F33" w14:textId="77777777" w:rsidR="00ED708E" w:rsidRPr="00B26FCC" w:rsidRDefault="00ED708E" w:rsidP="00ED708E">
      <w:pPr>
        <w:tabs>
          <w:tab w:val="right" w:pos="1260"/>
          <w:tab w:val="center" w:pos="4590"/>
          <w:tab w:val="center" w:pos="6930"/>
          <w:tab w:val="center" w:pos="7560"/>
        </w:tabs>
        <w:ind w:left="450"/>
        <w:rPr>
          <w:sz w:val="20"/>
        </w:rPr>
      </w:pPr>
      <w:r w:rsidRPr="00B26FCC">
        <w:rPr>
          <w:sz w:val="20"/>
        </w:rPr>
        <w:lastRenderedPageBreak/>
        <w:tab/>
      </w:r>
      <w:r w:rsidRPr="00B26FCC">
        <w:rPr>
          <w:sz w:val="20"/>
        </w:rPr>
        <w:tab/>
        <w:t>2021 Stimulus Payment</w:t>
      </w:r>
      <w:r w:rsidRPr="00B26FCC">
        <w:rPr>
          <w:sz w:val="20"/>
        </w:rPr>
        <w:tab/>
        <w:t>2021 AGI</w:t>
      </w:r>
      <w:r w:rsidRPr="00B26FCC">
        <w:rPr>
          <w:sz w:val="20"/>
        </w:rPr>
        <w:br/>
      </w:r>
      <w:r w:rsidRPr="00B26FCC">
        <w:rPr>
          <w:sz w:val="20"/>
        </w:rPr>
        <w:tab/>
      </w:r>
      <w:r w:rsidRPr="00B26FCC">
        <w:rPr>
          <w:sz w:val="20"/>
          <w:u w:val="single"/>
        </w:rPr>
        <w:t>Status</w:t>
      </w:r>
      <w:r w:rsidRPr="00B26FCC">
        <w:rPr>
          <w:sz w:val="20"/>
        </w:rPr>
        <w:tab/>
      </w:r>
      <w:r w:rsidRPr="00B26FCC">
        <w:rPr>
          <w:sz w:val="20"/>
          <w:u w:val="single"/>
        </w:rPr>
        <w:t>Amount</w:t>
      </w:r>
      <w:r w:rsidRPr="00B26FCC">
        <w:rPr>
          <w:sz w:val="20"/>
        </w:rPr>
        <w:tab/>
      </w:r>
      <w:r w:rsidRPr="00B26FCC">
        <w:rPr>
          <w:sz w:val="20"/>
          <w:u w:val="single"/>
        </w:rPr>
        <w:t xml:space="preserve">Phase-out </w:t>
      </w:r>
    </w:p>
    <w:p w14:paraId="222AB81E" w14:textId="77777777" w:rsidR="00ED708E" w:rsidRPr="00B26FCC" w:rsidRDefault="00ED708E" w:rsidP="00ED708E">
      <w:pPr>
        <w:tabs>
          <w:tab w:val="left" w:pos="360"/>
          <w:tab w:val="center" w:pos="1440"/>
          <w:tab w:val="right" w:pos="4860"/>
          <w:tab w:val="left" w:pos="5940"/>
          <w:tab w:val="right" w:pos="6840"/>
        </w:tabs>
        <w:rPr>
          <w:sz w:val="18"/>
          <w:szCs w:val="22"/>
        </w:rPr>
      </w:pPr>
      <w:r w:rsidRPr="00B26FCC">
        <w:rPr>
          <w:sz w:val="20"/>
        </w:rPr>
        <w:tab/>
        <w:t>Single or head of household</w:t>
      </w:r>
      <w:r w:rsidRPr="00B26FCC">
        <w:rPr>
          <w:sz w:val="20"/>
        </w:rPr>
        <w:tab/>
        <w:t>$1,400</w:t>
      </w:r>
      <w:r w:rsidRPr="00B26FCC">
        <w:rPr>
          <w:sz w:val="20"/>
        </w:rPr>
        <w:tab/>
        <w:t>$  75,000 - $  80,000</w:t>
      </w:r>
      <w:r w:rsidRPr="00B26FCC">
        <w:rPr>
          <w:sz w:val="20"/>
        </w:rPr>
        <w:br/>
      </w:r>
      <w:r w:rsidRPr="00B26FCC">
        <w:rPr>
          <w:sz w:val="20"/>
        </w:rPr>
        <w:tab/>
        <w:t>Eligible to file jointly</w:t>
      </w:r>
      <w:r w:rsidRPr="00B26FCC">
        <w:rPr>
          <w:sz w:val="20"/>
        </w:rPr>
        <w:tab/>
        <w:t>2,800</w:t>
      </w:r>
      <w:r w:rsidRPr="00B26FCC">
        <w:rPr>
          <w:sz w:val="20"/>
        </w:rPr>
        <w:tab/>
        <w:t xml:space="preserve">  150,000 -   160,000</w:t>
      </w:r>
      <w:r w:rsidRPr="00B26FCC">
        <w:rPr>
          <w:sz w:val="20"/>
        </w:rPr>
        <w:br/>
      </w:r>
      <w:r w:rsidRPr="00B26FCC">
        <w:rPr>
          <w:sz w:val="20"/>
        </w:rPr>
        <w:tab/>
        <w:t>Each dependent</w:t>
      </w:r>
      <w:r w:rsidRPr="00B26FCC">
        <w:rPr>
          <w:sz w:val="20"/>
        </w:rPr>
        <w:tab/>
        <w:t>1,400</w:t>
      </w:r>
      <w:r w:rsidRPr="00B26FCC">
        <w:rPr>
          <w:sz w:val="20"/>
        </w:rPr>
        <w:tab/>
        <w:t xml:space="preserve">  112,500 -   120,000</w:t>
      </w:r>
      <w:r w:rsidRPr="00B26FCC">
        <w:rPr>
          <w:sz w:val="20"/>
        </w:rPr>
        <w:br/>
      </w:r>
    </w:p>
    <w:p w14:paraId="5BE62067" w14:textId="6ECD868E" w:rsidR="00ED708E" w:rsidRDefault="00ED708E" w:rsidP="00ED708E">
      <w:pPr>
        <w:rPr>
          <w:szCs w:val="24"/>
        </w:rPr>
      </w:pPr>
      <w:r>
        <w:rPr>
          <w:szCs w:val="24"/>
        </w:rPr>
        <w:t>For example, a married couple with four dependents and AGI less than $150,000 would receive a payment of $8,400 ($2,800</w:t>
      </w:r>
      <w:r w:rsidR="00B602BD">
        <w:rPr>
          <w:szCs w:val="24"/>
        </w:rPr>
        <w:t xml:space="preserve"> for the couple</w:t>
      </w:r>
      <w:r>
        <w:rPr>
          <w:szCs w:val="24"/>
        </w:rPr>
        <w:t xml:space="preserve"> +</w:t>
      </w:r>
      <w:r w:rsidR="00B602BD">
        <w:rPr>
          <w:szCs w:val="24"/>
        </w:rPr>
        <w:t>$5,600 for the children</w:t>
      </w:r>
      <w:r>
        <w:rPr>
          <w:szCs w:val="24"/>
        </w:rPr>
        <w:t xml:space="preserve"> (4 x $1,400 = $5,600).  </w:t>
      </w:r>
      <w:r w:rsidR="00B602BD">
        <w:rPr>
          <w:szCs w:val="24"/>
        </w:rPr>
        <w:t>However, if</w:t>
      </w:r>
      <w:r>
        <w:rPr>
          <w:szCs w:val="24"/>
        </w:rPr>
        <w:t xml:space="preserve"> the couple’s AGI exceeded $160,000, </w:t>
      </w:r>
      <w:r w:rsidR="00B602BD">
        <w:rPr>
          <w:szCs w:val="24"/>
        </w:rPr>
        <w:t>the entire $8,400 would</w:t>
      </w:r>
      <w:r>
        <w:rPr>
          <w:szCs w:val="24"/>
        </w:rPr>
        <w:t xml:space="preserve"> be phased out and the family would receive nothing at all.  From a planning perspective, those who can, might want to take steps to lower their </w:t>
      </w:r>
      <w:r w:rsidR="00B602BD">
        <w:rPr>
          <w:szCs w:val="24"/>
        </w:rPr>
        <w:t>AGI</w:t>
      </w:r>
      <w:r>
        <w:rPr>
          <w:szCs w:val="24"/>
        </w:rPr>
        <w:t xml:space="preserve"> (e.g., maximize the deduction for contributions to Individual Retirement Accounts).</w:t>
      </w:r>
    </w:p>
    <w:p w14:paraId="2675FC07" w14:textId="77777777" w:rsidR="00ED708E" w:rsidRDefault="00ED708E" w:rsidP="00ED708E">
      <w:pPr>
        <w:rPr>
          <w:szCs w:val="24"/>
        </w:rPr>
      </w:pPr>
    </w:p>
    <w:p w14:paraId="17526A38" w14:textId="3A1557E2" w:rsidR="00ED708E" w:rsidRPr="00B85768" w:rsidRDefault="00ED708E" w:rsidP="00ED708E">
      <w:pPr>
        <w:rPr>
          <w:color w:val="000000"/>
          <w:shd w:val="clear" w:color="auto" w:fill="FFFFFF"/>
        </w:rPr>
      </w:pPr>
      <w:r>
        <w:rPr>
          <w:szCs w:val="24"/>
        </w:rPr>
        <w:t>As suggested above</w:t>
      </w:r>
      <w:r w:rsidRPr="00B85768">
        <w:rPr>
          <w:szCs w:val="24"/>
        </w:rPr>
        <w:t xml:space="preserve">, </w:t>
      </w:r>
      <w:r>
        <w:rPr>
          <w:szCs w:val="24"/>
        </w:rPr>
        <w:t>technically, the</w:t>
      </w:r>
      <w:r w:rsidRPr="00B85768">
        <w:rPr>
          <w:szCs w:val="24"/>
        </w:rPr>
        <w:t xml:space="preserve"> </w:t>
      </w:r>
      <w:r>
        <w:rPr>
          <w:szCs w:val="24"/>
        </w:rPr>
        <w:t>payments are</w:t>
      </w:r>
      <w:r w:rsidRPr="00B85768">
        <w:rPr>
          <w:szCs w:val="24"/>
        </w:rPr>
        <w:t xml:space="preserve"> an advanced payment of a refundable credit against taxes that will otherwise be due for the tax year</w:t>
      </w:r>
      <w:r w:rsidR="0050639A">
        <w:rPr>
          <w:szCs w:val="24"/>
        </w:rPr>
        <w:t xml:space="preserve">. </w:t>
      </w:r>
      <w:r>
        <w:rPr>
          <w:szCs w:val="24"/>
        </w:rPr>
        <w:t xml:space="preserve"> For example, assuming</w:t>
      </w:r>
      <w:r w:rsidRPr="00B85768">
        <w:rPr>
          <w:szCs w:val="24"/>
        </w:rPr>
        <w:t xml:space="preserve"> a taxpayer</w:t>
      </w:r>
      <w:r w:rsidR="00F04BC1">
        <w:rPr>
          <w:szCs w:val="24"/>
        </w:rPr>
        <w:t xml:space="preserve"> </w:t>
      </w:r>
      <w:proofErr w:type="gramStart"/>
      <w:r w:rsidR="00F04BC1">
        <w:rPr>
          <w:szCs w:val="24"/>
        </w:rPr>
        <w:t>actually</w:t>
      </w:r>
      <w:r w:rsidRPr="00B85768">
        <w:rPr>
          <w:szCs w:val="24"/>
        </w:rPr>
        <w:t xml:space="preserve"> receives</w:t>
      </w:r>
      <w:proofErr w:type="gramEnd"/>
      <w:r w:rsidRPr="00B85768">
        <w:rPr>
          <w:szCs w:val="24"/>
        </w:rPr>
        <w:t xml:space="preserve"> the </w:t>
      </w:r>
      <w:r>
        <w:rPr>
          <w:szCs w:val="24"/>
        </w:rPr>
        <w:t xml:space="preserve">advanced payment of the </w:t>
      </w:r>
      <w:r w:rsidRPr="00B85768">
        <w:rPr>
          <w:szCs w:val="24"/>
        </w:rPr>
        <w:t xml:space="preserve">credit to which he or she is entitled </w:t>
      </w:r>
      <w:r>
        <w:rPr>
          <w:szCs w:val="24"/>
        </w:rPr>
        <w:t>for 2021</w:t>
      </w:r>
      <w:r w:rsidRPr="00B85768">
        <w:rPr>
          <w:szCs w:val="24"/>
        </w:rPr>
        <w:t>, no credit is claimed on the 202</w:t>
      </w:r>
      <w:r>
        <w:rPr>
          <w:szCs w:val="24"/>
        </w:rPr>
        <w:t>1</w:t>
      </w:r>
      <w:r w:rsidRPr="00B85768">
        <w:rPr>
          <w:szCs w:val="24"/>
        </w:rPr>
        <w:t xml:space="preserve"> tax return.  </w:t>
      </w:r>
      <w:r w:rsidR="00B602BD">
        <w:rPr>
          <w:szCs w:val="24"/>
        </w:rPr>
        <w:t>Recall, however</w:t>
      </w:r>
      <w:r w:rsidRPr="00B85768">
        <w:rPr>
          <w:szCs w:val="24"/>
        </w:rPr>
        <w:t xml:space="preserve">, </w:t>
      </w:r>
      <w:r w:rsidR="00B602BD">
        <w:rPr>
          <w:szCs w:val="24"/>
        </w:rPr>
        <w:t xml:space="preserve">that </w:t>
      </w:r>
      <w:r w:rsidRPr="00B85768">
        <w:rPr>
          <w:szCs w:val="24"/>
        </w:rPr>
        <w:t xml:space="preserve">taxpayers </w:t>
      </w:r>
      <w:r>
        <w:rPr>
          <w:szCs w:val="24"/>
        </w:rPr>
        <w:t>will</w:t>
      </w:r>
      <w:r w:rsidRPr="00B85768">
        <w:rPr>
          <w:szCs w:val="24"/>
        </w:rPr>
        <w:t xml:space="preserve"> not have to wait until they file their returns for 202</w:t>
      </w:r>
      <w:r>
        <w:rPr>
          <w:szCs w:val="24"/>
        </w:rPr>
        <w:t>1</w:t>
      </w:r>
      <w:r w:rsidRPr="00B85768">
        <w:rPr>
          <w:szCs w:val="24"/>
        </w:rPr>
        <w:t xml:space="preserve"> to obtain this credit.  An advance </w:t>
      </w:r>
      <w:r w:rsidR="00B602BD">
        <w:rPr>
          <w:szCs w:val="24"/>
        </w:rPr>
        <w:t>payment</w:t>
      </w:r>
      <w:r w:rsidRPr="00B85768">
        <w:rPr>
          <w:szCs w:val="24"/>
        </w:rPr>
        <w:t xml:space="preserve"> of the credit will be deposited directly in the taxpayer’s account or mailed in the form of a check.</w:t>
      </w:r>
      <w:r>
        <w:rPr>
          <w:szCs w:val="24"/>
        </w:rPr>
        <w:t xml:space="preserve">  As discussed further below, when the IRS computes the stimulus payment, it uses the AGI that they have available when it computes the credit (i.e., </w:t>
      </w:r>
      <w:r w:rsidR="00B602BD">
        <w:rPr>
          <w:szCs w:val="24"/>
        </w:rPr>
        <w:t xml:space="preserve">AGI for </w:t>
      </w:r>
      <w:r>
        <w:rPr>
          <w:szCs w:val="24"/>
        </w:rPr>
        <w:t xml:space="preserve">2020 if the 2020 return has been filed, otherwise </w:t>
      </w:r>
      <w:r w:rsidR="00B602BD">
        <w:rPr>
          <w:szCs w:val="24"/>
        </w:rPr>
        <w:t xml:space="preserve">the AGI for </w:t>
      </w:r>
      <w:r>
        <w:rPr>
          <w:szCs w:val="24"/>
        </w:rPr>
        <w:t>2019).</w:t>
      </w:r>
    </w:p>
    <w:p w14:paraId="4FC1995F" w14:textId="77777777" w:rsidR="00ED708E" w:rsidRPr="00F80C62" w:rsidRDefault="00ED708E" w:rsidP="00ED708E">
      <w:pPr>
        <w:rPr>
          <w:sz w:val="20"/>
          <w:szCs w:val="24"/>
        </w:rPr>
      </w:pPr>
    </w:p>
    <w:p w14:paraId="51259FBC" w14:textId="20CD077D" w:rsidR="00ED708E" w:rsidRDefault="00ED708E" w:rsidP="00ED708E">
      <w:pPr>
        <w:rPr>
          <w:szCs w:val="24"/>
        </w:rPr>
      </w:pPr>
      <w:r w:rsidRPr="00B85768">
        <w:rPr>
          <w:szCs w:val="24"/>
        </w:rPr>
        <w:t xml:space="preserve">Since the payment represents a refundable credit, taxpayers receive a check regardless of whether they have a tax liability for </w:t>
      </w:r>
      <w:r>
        <w:rPr>
          <w:szCs w:val="24"/>
        </w:rPr>
        <w:t>the year</w:t>
      </w:r>
      <w:r w:rsidRPr="00B85768">
        <w:rPr>
          <w:szCs w:val="24"/>
        </w:rPr>
        <w:t xml:space="preserve"> equal to (or greater than) the amount of the check received.  </w:t>
      </w:r>
      <w:r>
        <w:rPr>
          <w:szCs w:val="24"/>
        </w:rPr>
        <w:t>As noted above, the</w:t>
      </w:r>
      <w:r w:rsidRPr="00B85768">
        <w:rPr>
          <w:szCs w:val="24"/>
        </w:rPr>
        <w:t xml:space="preserve"> </w:t>
      </w:r>
      <w:r>
        <w:rPr>
          <w:szCs w:val="24"/>
        </w:rPr>
        <w:t>payment</w:t>
      </w:r>
      <w:r w:rsidRPr="00B85768">
        <w:rPr>
          <w:szCs w:val="24"/>
        </w:rPr>
        <w:t xml:space="preserve"> will not need to be repaid, nor is it includible in the recipient’s gross income (i.e., it is not taxable).  As the IRS website suggests, individuals who have no income at all, as well as those whose income is entirely derived from “non-taxable means-tested benefit programs” such as Supplemental Security Income (SSI) benefits, are eligible for the advance rebate (or credit).</w:t>
      </w:r>
      <w:r>
        <w:rPr>
          <w:szCs w:val="24"/>
        </w:rPr>
        <w:t xml:space="preserve">  </w:t>
      </w:r>
    </w:p>
    <w:p w14:paraId="3BE67EC9" w14:textId="149AADEE" w:rsidR="00A76B16" w:rsidRDefault="00A76B16" w:rsidP="00ED708E">
      <w:pPr>
        <w:rPr>
          <w:szCs w:val="24"/>
        </w:rPr>
      </w:pPr>
    </w:p>
    <w:p w14:paraId="17F64F66" w14:textId="77777777" w:rsidR="00355172" w:rsidRDefault="00A76B16" w:rsidP="00A76B16">
      <w:pPr>
        <w:rPr>
          <w:b/>
          <w:szCs w:val="24"/>
        </w:rPr>
      </w:pPr>
      <w:r>
        <w:rPr>
          <w:b/>
          <w:szCs w:val="24"/>
        </w:rPr>
        <w:t>Child Tax Credit and ARPA</w:t>
      </w:r>
      <w:r w:rsidR="00312948">
        <w:rPr>
          <w:b/>
          <w:szCs w:val="24"/>
        </w:rPr>
        <w:t xml:space="preserve">. </w:t>
      </w:r>
    </w:p>
    <w:p w14:paraId="373F5100" w14:textId="77777777" w:rsidR="00355172" w:rsidRDefault="00355172" w:rsidP="00A76B16">
      <w:pPr>
        <w:rPr>
          <w:b/>
          <w:szCs w:val="24"/>
        </w:rPr>
      </w:pPr>
    </w:p>
    <w:p w14:paraId="14CF724F" w14:textId="77777777" w:rsidR="003C5187" w:rsidRDefault="00BA15CB" w:rsidP="00A76B16">
      <w:pPr>
        <w:rPr>
          <w:bCs/>
          <w:szCs w:val="24"/>
        </w:rPr>
      </w:pPr>
      <w:r w:rsidRPr="00355172">
        <w:rPr>
          <w:b/>
          <w:szCs w:val="24"/>
        </w:rPr>
        <w:t>Credit Increase and Phaseout Rules</w:t>
      </w:r>
      <w:r>
        <w:rPr>
          <w:bCs/>
          <w:i/>
          <w:iCs/>
          <w:szCs w:val="24"/>
        </w:rPr>
        <w:t xml:space="preserve">.  </w:t>
      </w:r>
      <w:r w:rsidR="00312948">
        <w:rPr>
          <w:b/>
          <w:szCs w:val="24"/>
        </w:rPr>
        <w:t xml:space="preserve"> </w:t>
      </w:r>
      <w:r w:rsidR="00A76B16">
        <w:rPr>
          <w:bCs/>
          <w:szCs w:val="24"/>
        </w:rPr>
        <w:t>For 2021,</w:t>
      </w:r>
      <w:r w:rsidR="00A76B16">
        <w:rPr>
          <w:bCs/>
          <w:i/>
          <w:iCs/>
          <w:szCs w:val="24"/>
        </w:rPr>
        <w:t xml:space="preserve"> </w:t>
      </w:r>
      <w:r w:rsidR="00A76B16" w:rsidRPr="00DA2D89">
        <w:rPr>
          <w:bCs/>
          <w:szCs w:val="24"/>
        </w:rPr>
        <w:t>ARPA</w:t>
      </w:r>
      <w:r w:rsidR="00A76B16" w:rsidRPr="001E6023">
        <w:rPr>
          <w:bCs/>
          <w:szCs w:val="24"/>
        </w:rPr>
        <w:t xml:space="preserve"> </w:t>
      </w:r>
      <w:r w:rsidR="00A76B16">
        <w:rPr>
          <w:bCs/>
          <w:szCs w:val="24"/>
        </w:rPr>
        <w:t xml:space="preserve">substantially </w:t>
      </w:r>
      <w:r w:rsidR="00033375">
        <w:rPr>
          <w:bCs/>
          <w:szCs w:val="24"/>
        </w:rPr>
        <w:t>boosts</w:t>
      </w:r>
      <w:r w:rsidR="00A76B16">
        <w:rPr>
          <w:bCs/>
          <w:szCs w:val="24"/>
        </w:rPr>
        <w:t xml:space="preserve"> the child tax credit.  </w:t>
      </w:r>
    </w:p>
    <w:p w14:paraId="24504AD7" w14:textId="77777777" w:rsidR="003C5187" w:rsidRDefault="003C5187" w:rsidP="00A76B16">
      <w:pPr>
        <w:rPr>
          <w:bCs/>
          <w:szCs w:val="24"/>
        </w:rPr>
      </w:pPr>
    </w:p>
    <w:p w14:paraId="2A26A258" w14:textId="7787D7E6" w:rsidR="00312948" w:rsidRDefault="003C5187" w:rsidP="00A76B16">
      <w:pPr>
        <w:rPr>
          <w:bCs/>
          <w:szCs w:val="24"/>
        </w:rPr>
      </w:pPr>
      <w:r>
        <w:rPr>
          <w:bCs/>
          <w:i/>
          <w:iCs/>
          <w:szCs w:val="24"/>
        </w:rPr>
        <w:t xml:space="preserve">Credit Amount.  </w:t>
      </w:r>
      <w:r w:rsidR="00BA15CB">
        <w:rPr>
          <w:bCs/>
          <w:szCs w:val="24"/>
        </w:rPr>
        <w:t xml:space="preserve">The amount of the increase depends on the age of the child. </w:t>
      </w:r>
      <w:r w:rsidR="00226ADE">
        <w:rPr>
          <w:bCs/>
          <w:szCs w:val="24"/>
        </w:rPr>
        <w:t xml:space="preserve"> </w:t>
      </w:r>
      <w:r>
        <w:rPr>
          <w:bCs/>
          <w:szCs w:val="24"/>
        </w:rPr>
        <w:t>Such credit is</w:t>
      </w:r>
      <w:r w:rsidR="00BA15CB">
        <w:rPr>
          <w:bCs/>
          <w:szCs w:val="24"/>
        </w:rPr>
        <w:t xml:space="preserve"> subject to phaseout at higher levels of AGI.</w:t>
      </w:r>
      <w:r w:rsidR="00226ADE">
        <w:rPr>
          <w:bCs/>
          <w:szCs w:val="24"/>
        </w:rPr>
        <w:t xml:space="preserve"> </w:t>
      </w:r>
    </w:p>
    <w:p w14:paraId="5D920FF8" w14:textId="77777777" w:rsidR="00312948" w:rsidRDefault="00312948" w:rsidP="00A76B16">
      <w:pPr>
        <w:rPr>
          <w:bCs/>
          <w:i/>
          <w:iCs/>
          <w:szCs w:val="24"/>
        </w:rPr>
      </w:pPr>
    </w:p>
    <w:p w14:paraId="797B3039" w14:textId="1576D00F" w:rsidR="00BA15CB" w:rsidRPr="00BA15CB" w:rsidRDefault="00BA15CB" w:rsidP="00BA15CB">
      <w:pPr>
        <w:pStyle w:val="ListParagraph"/>
        <w:numPr>
          <w:ilvl w:val="0"/>
          <w:numId w:val="23"/>
        </w:numPr>
        <w:rPr>
          <w:bCs/>
          <w:szCs w:val="24"/>
        </w:rPr>
      </w:pPr>
      <w:bookmarkStart w:id="3" w:name="_Hlk81902831"/>
      <w:r>
        <w:rPr>
          <w:b/>
          <w:szCs w:val="24"/>
        </w:rPr>
        <w:t xml:space="preserve">Children </w:t>
      </w:r>
      <w:bookmarkEnd w:id="3"/>
      <w:r>
        <w:rPr>
          <w:b/>
          <w:szCs w:val="24"/>
        </w:rPr>
        <w:t xml:space="preserve">Under Age 6.  </w:t>
      </w:r>
      <w:r w:rsidR="00033375" w:rsidRPr="00BA15CB">
        <w:rPr>
          <w:bCs/>
          <w:szCs w:val="24"/>
        </w:rPr>
        <w:t>For each qualifying child under age 6, t</w:t>
      </w:r>
      <w:r w:rsidR="00A76B16" w:rsidRPr="00BA15CB">
        <w:rPr>
          <w:bCs/>
          <w:szCs w:val="24"/>
        </w:rPr>
        <w:t xml:space="preserve">he </w:t>
      </w:r>
      <w:r w:rsidRPr="00BA15CB">
        <w:rPr>
          <w:bCs/>
          <w:szCs w:val="24"/>
        </w:rPr>
        <w:t xml:space="preserve">child tax </w:t>
      </w:r>
      <w:r w:rsidR="00A76B16" w:rsidRPr="00BA15CB">
        <w:rPr>
          <w:bCs/>
          <w:szCs w:val="24"/>
        </w:rPr>
        <w:t xml:space="preserve">credit </w:t>
      </w:r>
      <w:r w:rsidR="00236EBC" w:rsidRPr="00BA15CB">
        <w:rPr>
          <w:bCs/>
          <w:szCs w:val="24"/>
        </w:rPr>
        <w:t>is</w:t>
      </w:r>
      <w:r w:rsidR="00A76B16" w:rsidRPr="00BA15CB">
        <w:rPr>
          <w:bCs/>
          <w:szCs w:val="24"/>
        </w:rPr>
        <w:t xml:space="preserve"> </w:t>
      </w:r>
      <w:r w:rsidR="009E062B">
        <w:rPr>
          <w:bCs/>
          <w:szCs w:val="24"/>
        </w:rPr>
        <w:t xml:space="preserve"> </w:t>
      </w:r>
      <w:r w:rsidR="003C5187">
        <w:rPr>
          <w:bCs/>
          <w:szCs w:val="24"/>
        </w:rPr>
        <w:t xml:space="preserve">potentially </w:t>
      </w:r>
      <w:r w:rsidR="009E062B">
        <w:rPr>
          <w:bCs/>
          <w:szCs w:val="24"/>
        </w:rPr>
        <w:t xml:space="preserve">$3,600 (an </w:t>
      </w:r>
      <w:r w:rsidR="00A76B16" w:rsidRPr="00BA15CB">
        <w:rPr>
          <w:bCs/>
          <w:szCs w:val="24"/>
        </w:rPr>
        <w:t>increase</w:t>
      </w:r>
      <w:r w:rsidR="00033375" w:rsidRPr="00BA15CB">
        <w:rPr>
          <w:bCs/>
          <w:szCs w:val="24"/>
        </w:rPr>
        <w:t xml:space="preserve"> </w:t>
      </w:r>
      <w:r w:rsidR="009E062B">
        <w:rPr>
          <w:bCs/>
          <w:szCs w:val="24"/>
        </w:rPr>
        <w:t xml:space="preserve">of </w:t>
      </w:r>
      <w:r w:rsidR="00033375" w:rsidRPr="00BA15CB">
        <w:rPr>
          <w:bCs/>
          <w:szCs w:val="24"/>
        </w:rPr>
        <w:t>$1,600</w:t>
      </w:r>
      <w:r w:rsidR="003C5187">
        <w:rPr>
          <w:bCs/>
          <w:szCs w:val="24"/>
        </w:rPr>
        <w:t xml:space="preserve"> per child, up</w:t>
      </w:r>
      <w:r w:rsidR="00A76B16" w:rsidRPr="00BA15CB">
        <w:rPr>
          <w:bCs/>
          <w:szCs w:val="24"/>
        </w:rPr>
        <w:t xml:space="preserve"> from $2,000</w:t>
      </w:r>
      <w:r w:rsidR="009E062B">
        <w:rPr>
          <w:bCs/>
          <w:szCs w:val="24"/>
        </w:rPr>
        <w:t>)</w:t>
      </w:r>
      <w:r w:rsidR="00033375" w:rsidRPr="00BA15CB">
        <w:rPr>
          <w:bCs/>
          <w:szCs w:val="24"/>
        </w:rPr>
        <w:t xml:space="preserve">.  </w:t>
      </w:r>
    </w:p>
    <w:p w14:paraId="600BC6DE" w14:textId="6D6E7CFA" w:rsidR="00236EBC" w:rsidRDefault="00BA15CB" w:rsidP="00BA15CB">
      <w:pPr>
        <w:pStyle w:val="ListParagraph"/>
        <w:numPr>
          <w:ilvl w:val="0"/>
          <w:numId w:val="23"/>
        </w:numPr>
        <w:rPr>
          <w:bCs/>
          <w:szCs w:val="24"/>
        </w:rPr>
      </w:pPr>
      <w:r w:rsidRPr="00BA15CB">
        <w:rPr>
          <w:b/>
          <w:bCs/>
          <w:szCs w:val="24"/>
        </w:rPr>
        <w:t xml:space="preserve">Children </w:t>
      </w:r>
      <w:r>
        <w:rPr>
          <w:b/>
          <w:szCs w:val="24"/>
        </w:rPr>
        <w:t>Ages</w:t>
      </w:r>
      <w:r w:rsidR="00033375" w:rsidRPr="00BA15CB">
        <w:rPr>
          <w:bCs/>
          <w:szCs w:val="24"/>
        </w:rPr>
        <w:t xml:space="preserve"> </w:t>
      </w:r>
      <w:r w:rsidR="00033375" w:rsidRPr="009E062B">
        <w:rPr>
          <w:b/>
          <w:szCs w:val="24"/>
        </w:rPr>
        <w:t>6 through 17</w:t>
      </w:r>
      <w:r w:rsidR="009E062B">
        <w:rPr>
          <w:b/>
          <w:szCs w:val="24"/>
        </w:rPr>
        <w:t xml:space="preserve">.  </w:t>
      </w:r>
      <w:r w:rsidR="009E062B">
        <w:rPr>
          <w:bCs/>
          <w:szCs w:val="24"/>
        </w:rPr>
        <w:t>For each qualifying child ages 6 through 16</w:t>
      </w:r>
      <w:r w:rsidR="00033375" w:rsidRPr="00BA15CB">
        <w:rPr>
          <w:bCs/>
          <w:szCs w:val="24"/>
        </w:rPr>
        <w:t xml:space="preserve">, the credit </w:t>
      </w:r>
      <w:r w:rsidR="009E062B">
        <w:rPr>
          <w:bCs/>
          <w:szCs w:val="24"/>
        </w:rPr>
        <w:t xml:space="preserve">is </w:t>
      </w:r>
      <w:r w:rsidR="003C5187">
        <w:rPr>
          <w:bCs/>
          <w:szCs w:val="24"/>
        </w:rPr>
        <w:t xml:space="preserve">potentially </w:t>
      </w:r>
      <w:r w:rsidR="009E062B">
        <w:rPr>
          <w:bCs/>
          <w:szCs w:val="24"/>
        </w:rPr>
        <w:t>$3,000 (an increase of</w:t>
      </w:r>
      <w:r w:rsidR="00033375" w:rsidRPr="00BA15CB">
        <w:rPr>
          <w:bCs/>
          <w:szCs w:val="24"/>
        </w:rPr>
        <w:t xml:space="preserve"> $1,000</w:t>
      </w:r>
      <w:r w:rsidR="003C5187">
        <w:rPr>
          <w:bCs/>
          <w:szCs w:val="24"/>
        </w:rPr>
        <w:t>, up</w:t>
      </w:r>
      <w:r w:rsidR="00033375" w:rsidRPr="00BA15CB">
        <w:rPr>
          <w:bCs/>
          <w:szCs w:val="24"/>
        </w:rPr>
        <w:t xml:space="preserve"> </w:t>
      </w:r>
      <w:r w:rsidR="00A76B16" w:rsidRPr="00BA15CB">
        <w:rPr>
          <w:bCs/>
          <w:szCs w:val="24"/>
        </w:rPr>
        <w:t>from $2,000</w:t>
      </w:r>
      <w:r w:rsidR="009E062B">
        <w:rPr>
          <w:bCs/>
          <w:szCs w:val="24"/>
        </w:rPr>
        <w:t>)</w:t>
      </w:r>
      <w:r w:rsidR="00A76B16" w:rsidRPr="00BA15CB">
        <w:rPr>
          <w:bCs/>
          <w:szCs w:val="24"/>
        </w:rPr>
        <w:t xml:space="preserve">.  </w:t>
      </w:r>
    </w:p>
    <w:p w14:paraId="2A919ADD" w14:textId="77777777" w:rsidR="009E062B" w:rsidRPr="00BA15CB" w:rsidRDefault="009E062B" w:rsidP="009E062B">
      <w:pPr>
        <w:pStyle w:val="ListParagraph"/>
        <w:rPr>
          <w:bCs/>
          <w:szCs w:val="24"/>
        </w:rPr>
      </w:pPr>
    </w:p>
    <w:p w14:paraId="44F682EA" w14:textId="394E9DDE" w:rsidR="00A76B16" w:rsidRDefault="00BA15CB" w:rsidP="00A76B16">
      <w:pPr>
        <w:rPr>
          <w:bCs/>
          <w:szCs w:val="24"/>
        </w:rPr>
      </w:pPr>
      <w:r>
        <w:rPr>
          <w:bCs/>
          <w:i/>
          <w:iCs/>
          <w:szCs w:val="24"/>
        </w:rPr>
        <w:t xml:space="preserve">Credit Phaseout.  </w:t>
      </w:r>
      <w:r w:rsidR="00A76B16">
        <w:rPr>
          <w:bCs/>
          <w:szCs w:val="24"/>
        </w:rPr>
        <w:t xml:space="preserve">For 2021, the child tax credit is subject to two separate sets of phaseout rules.  </w:t>
      </w:r>
      <w:r w:rsidR="00A76B16" w:rsidRPr="001E6023">
        <w:rPr>
          <w:bCs/>
          <w:szCs w:val="24"/>
        </w:rPr>
        <w:t>The increased credit</w:t>
      </w:r>
      <w:r w:rsidR="00A76B16">
        <w:rPr>
          <w:bCs/>
          <w:szCs w:val="24"/>
        </w:rPr>
        <w:t xml:space="preserve"> </w:t>
      </w:r>
      <w:r w:rsidR="00A76B16" w:rsidRPr="001E6023">
        <w:rPr>
          <w:bCs/>
          <w:szCs w:val="24"/>
        </w:rPr>
        <w:t>amount</w:t>
      </w:r>
      <w:r w:rsidR="00A76B16">
        <w:rPr>
          <w:bCs/>
          <w:szCs w:val="24"/>
        </w:rPr>
        <w:t xml:space="preserve"> (i.e., the additional </w:t>
      </w:r>
      <w:r w:rsidR="00033375">
        <w:rPr>
          <w:bCs/>
          <w:szCs w:val="24"/>
        </w:rPr>
        <w:t>$1,600,</w:t>
      </w:r>
      <w:r w:rsidR="00A76B16">
        <w:rPr>
          <w:bCs/>
          <w:szCs w:val="24"/>
        </w:rPr>
        <w:t xml:space="preserve"> or $1,</w:t>
      </w:r>
      <w:r w:rsidR="00236EBC">
        <w:rPr>
          <w:bCs/>
          <w:szCs w:val="24"/>
        </w:rPr>
        <w:t>0</w:t>
      </w:r>
      <w:r w:rsidR="00A76B16">
        <w:rPr>
          <w:bCs/>
          <w:szCs w:val="24"/>
        </w:rPr>
        <w:t>00)</w:t>
      </w:r>
      <w:r w:rsidR="00A76B16" w:rsidRPr="001E6023">
        <w:rPr>
          <w:bCs/>
          <w:szCs w:val="24"/>
        </w:rPr>
        <w:t xml:space="preserve"> phases out for taxpayers with </w:t>
      </w:r>
      <w:r w:rsidR="00A76B16">
        <w:rPr>
          <w:bCs/>
          <w:szCs w:val="24"/>
        </w:rPr>
        <w:t>modified AGI (MAGI)</w:t>
      </w:r>
      <w:r w:rsidR="00A76B16" w:rsidRPr="001E6023">
        <w:rPr>
          <w:bCs/>
          <w:szCs w:val="24"/>
        </w:rPr>
        <w:t xml:space="preserve"> over $150,000 for </w:t>
      </w:r>
      <w:r w:rsidR="00236EBC">
        <w:rPr>
          <w:bCs/>
          <w:szCs w:val="24"/>
        </w:rPr>
        <w:t>joint fillers</w:t>
      </w:r>
      <w:r w:rsidR="00A76B16" w:rsidRPr="001E6023">
        <w:rPr>
          <w:bCs/>
          <w:szCs w:val="24"/>
        </w:rPr>
        <w:t>, $112,500 for heads</w:t>
      </w:r>
      <w:r w:rsidR="00A76B16">
        <w:rPr>
          <w:bCs/>
          <w:szCs w:val="24"/>
        </w:rPr>
        <w:t xml:space="preserve"> </w:t>
      </w:r>
      <w:r w:rsidR="00A76B16" w:rsidRPr="001E6023">
        <w:rPr>
          <w:bCs/>
          <w:szCs w:val="24"/>
        </w:rPr>
        <w:t>of household, and $75,000 for others</w:t>
      </w:r>
      <w:r w:rsidR="00A76B16">
        <w:rPr>
          <w:bCs/>
          <w:szCs w:val="24"/>
        </w:rPr>
        <w:t xml:space="preserve">.  The </w:t>
      </w:r>
      <w:r w:rsidR="00226ADE">
        <w:rPr>
          <w:bCs/>
          <w:szCs w:val="24"/>
        </w:rPr>
        <w:t>increased</w:t>
      </w:r>
      <w:r w:rsidR="00A76B16">
        <w:rPr>
          <w:bCs/>
          <w:szCs w:val="24"/>
        </w:rPr>
        <w:t xml:space="preserve"> portion of the credit </w:t>
      </w:r>
      <w:r w:rsidR="00A76B16" w:rsidRPr="001E6023">
        <w:rPr>
          <w:bCs/>
          <w:szCs w:val="24"/>
        </w:rPr>
        <w:t xml:space="preserve">(i.e., </w:t>
      </w:r>
      <w:r w:rsidR="009E062B" w:rsidRPr="001E6023">
        <w:rPr>
          <w:bCs/>
          <w:szCs w:val="24"/>
        </w:rPr>
        <w:t xml:space="preserve">$1,600 </w:t>
      </w:r>
      <w:r w:rsidR="00A76B16" w:rsidRPr="001E6023">
        <w:rPr>
          <w:bCs/>
          <w:szCs w:val="24"/>
        </w:rPr>
        <w:t xml:space="preserve">or </w:t>
      </w:r>
      <w:r w:rsidR="009E062B" w:rsidRPr="001E6023">
        <w:rPr>
          <w:bCs/>
          <w:szCs w:val="24"/>
        </w:rPr>
        <w:t>$1</w:t>
      </w:r>
      <w:r w:rsidR="009E062B">
        <w:rPr>
          <w:bCs/>
          <w:szCs w:val="24"/>
        </w:rPr>
        <w:t>.</w:t>
      </w:r>
      <w:r w:rsidR="009E062B" w:rsidRPr="001E6023">
        <w:rPr>
          <w:bCs/>
          <w:szCs w:val="24"/>
        </w:rPr>
        <w:t xml:space="preserve">000 </w:t>
      </w:r>
      <w:r w:rsidR="00A76B16" w:rsidRPr="001E6023">
        <w:rPr>
          <w:bCs/>
          <w:szCs w:val="24"/>
        </w:rPr>
        <w:t xml:space="preserve">increase </w:t>
      </w:r>
      <w:r w:rsidR="00A76B16">
        <w:rPr>
          <w:bCs/>
          <w:szCs w:val="24"/>
        </w:rPr>
        <w:t>in contrast to</w:t>
      </w:r>
      <w:r w:rsidR="00A76B16" w:rsidRPr="001E6023">
        <w:rPr>
          <w:bCs/>
          <w:szCs w:val="24"/>
        </w:rPr>
        <w:t xml:space="preserve"> $2,000</w:t>
      </w:r>
      <w:r w:rsidR="00A76B16">
        <w:rPr>
          <w:bCs/>
          <w:szCs w:val="24"/>
        </w:rPr>
        <w:t xml:space="preserve"> </w:t>
      </w:r>
      <w:r w:rsidR="00A76B16" w:rsidRPr="001E6023">
        <w:rPr>
          <w:bCs/>
          <w:szCs w:val="24"/>
        </w:rPr>
        <w:t xml:space="preserve">overall under prior law) </w:t>
      </w:r>
      <w:r w:rsidR="00A76B16">
        <w:rPr>
          <w:bCs/>
          <w:szCs w:val="24"/>
        </w:rPr>
        <w:t xml:space="preserve">is reduced </w:t>
      </w:r>
      <w:r w:rsidR="00A76B16" w:rsidRPr="001E6023">
        <w:rPr>
          <w:bCs/>
          <w:szCs w:val="24"/>
        </w:rPr>
        <w:t xml:space="preserve">by $50 for each $1,000 of </w:t>
      </w:r>
      <w:r w:rsidR="00A76B16">
        <w:rPr>
          <w:bCs/>
          <w:szCs w:val="24"/>
        </w:rPr>
        <w:t>MAGI</w:t>
      </w:r>
      <w:r w:rsidR="00A76B16" w:rsidRPr="001E6023">
        <w:rPr>
          <w:bCs/>
          <w:szCs w:val="24"/>
        </w:rPr>
        <w:t xml:space="preserve"> over those limits</w:t>
      </w:r>
      <w:r w:rsidR="00A76B16">
        <w:rPr>
          <w:bCs/>
          <w:szCs w:val="24"/>
        </w:rPr>
        <w:t xml:space="preserve">.  </w:t>
      </w:r>
      <w:r w:rsidR="00236EBC">
        <w:rPr>
          <w:bCs/>
          <w:szCs w:val="24"/>
        </w:rPr>
        <w:t xml:space="preserve">Thus, a family with four children under </w:t>
      </w:r>
      <w:r w:rsidR="009E062B">
        <w:rPr>
          <w:bCs/>
          <w:szCs w:val="24"/>
        </w:rPr>
        <w:t xml:space="preserve">age </w:t>
      </w:r>
      <w:r w:rsidR="00236EBC">
        <w:rPr>
          <w:bCs/>
          <w:szCs w:val="24"/>
        </w:rPr>
        <w:t xml:space="preserve">6 would be entitled to a credit of $14,400 ($3,600 x 4).  </w:t>
      </w:r>
      <w:r w:rsidR="00A76B16" w:rsidRPr="00977563">
        <w:rPr>
          <w:bCs/>
          <w:szCs w:val="24"/>
        </w:rPr>
        <w:t>Those who are not eligible for the additional $1,000 or $1,600 amounts</w:t>
      </w:r>
      <w:r w:rsidR="00A76B16">
        <w:rPr>
          <w:bCs/>
          <w:szCs w:val="24"/>
        </w:rPr>
        <w:t xml:space="preserve"> </w:t>
      </w:r>
      <w:r w:rsidR="00236EBC">
        <w:rPr>
          <w:bCs/>
          <w:szCs w:val="24"/>
        </w:rPr>
        <w:t>due to</w:t>
      </w:r>
      <w:r w:rsidR="00A76B16" w:rsidRPr="00977563">
        <w:rPr>
          <w:bCs/>
          <w:szCs w:val="24"/>
        </w:rPr>
        <w:t xml:space="preserve"> their MAGI can still claim the $2,000 credit under the pre-ARPA rules for</w:t>
      </w:r>
      <w:r w:rsidR="00A76B16">
        <w:rPr>
          <w:bCs/>
          <w:szCs w:val="24"/>
        </w:rPr>
        <w:t xml:space="preserve"> </w:t>
      </w:r>
      <w:r w:rsidR="00A76B16" w:rsidRPr="00977563">
        <w:rPr>
          <w:bCs/>
          <w:szCs w:val="24"/>
        </w:rPr>
        <w:t>each qualifying child 16 and under.</w:t>
      </w:r>
      <w:r w:rsidR="00A76B16">
        <w:rPr>
          <w:bCs/>
          <w:szCs w:val="24"/>
        </w:rPr>
        <w:t xml:space="preserve">  </w:t>
      </w:r>
      <w:r w:rsidR="00A76B16" w:rsidRPr="00977563">
        <w:rPr>
          <w:bCs/>
          <w:szCs w:val="24"/>
        </w:rPr>
        <w:t>The pre-ARPA rules allow</w:t>
      </w:r>
      <w:r w:rsidR="0070275D">
        <w:rPr>
          <w:bCs/>
          <w:szCs w:val="24"/>
        </w:rPr>
        <w:t>ed</w:t>
      </w:r>
      <w:r w:rsidR="00A76B16" w:rsidRPr="00977563">
        <w:rPr>
          <w:bCs/>
          <w:szCs w:val="24"/>
        </w:rPr>
        <w:t xml:space="preserve"> the $2,000 credit amount</w:t>
      </w:r>
      <w:r w:rsidR="00A76B16">
        <w:rPr>
          <w:bCs/>
          <w:szCs w:val="24"/>
        </w:rPr>
        <w:t xml:space="preserve"> </w:t>
      </w:r>
      <w:r w:rsidR="00A76B16" w:rsidRPr="00977563">
        <w:rPr>
          <w:bCs/>
          <w:szCs w:val="24"/>
        </w:rPr>
        <w:t>for taxpayers with MAGI up to $200,000, or $400,000 for married filing jointly.</w:t>
      </w:r>
    </w:p>
    <w:p w14:paraId="400925D2" w14:textId="42BD6E91" w:rsidR="00A76B16" w:rsidRDefault="00A76B16" w:rsidP="00A76B16">
      <w:pPr>
        <w:rPr>
          <w:bCs/>
          <w:szCs w:val="24"/>
        </w:rPr>
      </w:pPr>
    </w:p>
    <w:p w14:paraId="7847924E" w14:textId="6CC4AE2C" w:rsidR="003C5187" w:rsidRDefault="003C5187" w:rsidP="00A76B16">
      <w:pPr>
        <w:rPr>
          <w:bCs/>
          <w:szCs w:val="24"/>
        </w:rPr>
      </w:pPr>
    </w:p>
    <w:p w14:paraId="505AC74B" w14:textId="77777777" w:rsidR="003C5187" w:rsidRDefault="003C5187" w:rsidP="00A76B16">
      <w:pPr>
        <w:rPr>
          <w:bCs/>
          <w:szCs w:val="24"/>
        </w:rPr>
      </w:pPr>
    </w:p>
    <w:p w14:paraId="39FCC8D3" w14:textId="459C6515" w:rsidR="00A76B16" w:rsidRDefault="00A76B16" w:rsidP="00A76B16">
      <w:pPr>
        <w:rPr>
          <w:bCs/>
          <w:szCs w:val="24"/>
        </w:rPr>
      </w:pPr>
      <w:r w:rsidRPr="00704393">
        <w:rPr>
          <w:b/>
          <w:szCs w:val="24"/>
        </w:rPr>
        <w:lastRenderedPageBreak/>
        <w:t>Example 1</w:t>
      </w:r>
      <w:r w:rsidRPr="00977563">
        <w:rPr>
          <w:bCs/>
          <w:szCs w:val="24"/>
        </w:rPr>
        <w:t xml:space="preserve">: </w:t>
      </w:r>
      <w:r w:rsidR="000A2489">
        <w:rPr>
          <w:bCs/>
          <w:szCs w:val="24"/>
        </w:rPr>
        <w:t>H and W</w:t>
      </w:r>
      <w:r w:rsidRPr="00977563">
        <w:rPr>
          <w:bCs/>
          <w:szCs w:val="24"/>
        </w:rPr>
        <w:t xml:space="preserve"> are married </w:t>
      </w:r>
      <w:r w:rsidR="000A2489">
        <w:rPr>
          <w:bCs/>
          <w:szCs w:val="24"/>
        </w:rPr>
        <w:t>and file a joint return</w:t>
      </w:r>
      <w:r w:rsidRPr="00977563">
        <w:rPr>
          <w:bCs/>
          <w:szCs w:val="24"/>
        </w:rPr>
        <w:t xml:space="preserve"> in 2021. They have a qualifying child</w:t>
      </w:r>
      <w:r>
        <w:rPr>
          <w:bCs/>
          <w:szCs w:val="24"/>
        </w:rPr>
        <w:t xml:space="preserve">, </w:t>
      </w:r>
      <w:r w:rsidRPr="00977563">
        <w:rPr>
          <w:bCs/>
          <w:szCs w:val="24"/>
        </w:rPr>
        <w:t xml:space="preserve">who is 5 years old. </w:t>
      </w:r>
      <w:r w:rsidR="009E062B">
        <w:rPr>
          <w:bCs/>
          <w:szCs w:val="24"/>
        </w:rPr>
        <w:t xml:space="preserve"> </w:t>
      </w:r>
      <w:r w:rsidRPr="00977563">
        <w:rPr>
          <w:bCs/>
          <w:szCs w:val="24"/>
        </w:rPr>
        <w:t xml:space="preserve">Their MAGI is $160,000. </w:t>
      </w:r>
      <w:r w:rsidR="000A2489">
        <w:rPr>
          <w:bCs/>
          <w:szCs w:val="24"/>
        </w:rPr>
        <w:t xml:space="preserve"> </w:t>
      </w:r>
      <w:r w:rsidR="009E062B">
        <w:rPr>
          <w:bCs/>
          <w:szCs w:val="24"/>
        </w:rPr>
        <w:t>For</w:t>
      </w:r>
      <w:r w:rsidRPr="00977563">
        <w:rPr>
          <w:bCs/>
          <w:szCs w:val="24"/>
        </w:rPr>
        <w:t xml:space="preserve"> the additional credit</w:t>
      </w:r>
      <w:r w:rsidR="000A2489">
        <w:rPr>
          <w:bCs/>
          <w:szCs w:val="24"/>
        </w:rPr>
        <w:t xml:space="preserve"> of </w:t>
      </w:r>
      <w:r w:rsidR="000A2489" w:rsidRPr="00977563">
        <w:rPr>
          <w:bCs/>
          <w:szCs w:val="24"/>
        </w:rPr>
        <w:t>$1,600</w:t>
      </w:r>
      <w:r w:rsidRPr="00977563">
        <w:rPr>
          <w:bCs/>
          <w:szCs w:val="24"/>
        </w:rPr>
        <w:t>, the</w:t>
      </w:r>
      <w:r>
        <w:rPr>
          <w:bCs/>
          <w:szCs w:val="24"/>
        </w:rPr>
        <w:t xml:space="preserve"> </w:t>
      </w:r>
      <w:r w:rsidRPr="00977563">
        <w:rPr>
          <w:bCs/>
          <w:szCs w:val="24"/>
        </w:rPr>
        <w:t>phaseout amount would be $500 ([($160,000 - $150,000)/$1,000] x $50). As a result,</w:t>
      </w:r>
      <w:r>
        <w:rPr>
          <w:bCs/>
          <w:szCs w:val="24"/>
        </w:rPr>
        <w:t xml:space="preserve"> </w:t>
      </w:r>
      <w:r w:rsidRPr="00977563">
        <w:rPr>
          <w:bCs/>
          <w:szCs w:val="24"/>
        </w:rPr>
        <w:t>their child tax credit would be $3,100 ($2,000 +</w:t>
      </w:r>
      <w:r w:rsidR="000A2489">
        <w:rPr>
          <w:bCs/>
          <w:szCs w:val="24"/>
        </w:rPr>
        <w:t xml:space="preserve"> </w:t>
      </w:r>
      <w:r>
        <w:rPr>
          <w:bCs/>
          <w:szCs w:val="24"/>
        </w:rPr>
        <w:t>($1,600 - $500 =</w:t>
      </w:r>
      <w:r w:rsidRPr="00977563">
        <w:rPr>
          <w:bCs/>
          <w:szCs w:val="24"/>
        </w:rPr>
        <w:t xml:space="preserve"> $1,100).</w:t>
      </w:r>
    </w:p>
    <w:p w14:paraId="1BDEB27E" w14:textId="77777777" w:rsidR="003C5187" w:rsidRDefault="003C5187" w:rsidP="00A76B16">
      <w:pPr>
        <w:rPr>
          <w:bCs/>
          <w:szCs w:val="24"/>
        </w:rPr>
      </w:pPr>
    </w:p>
    <w:p w14:paraId="70DF8E79" w14:textId="77777777" w:rsidR="00A76B16" w:rsidRPr="00BA15CB" w:rsidRDefault="00A76B16" w:rsidP="00A76B16">
      <w:pPr>
        <w:rPr>
          <w:bCs/>
          <w:szCs w:val="24"/>
        </w:rPr>
      </w:pPr>
      <w:r w:rsidRPr="00BA15CB">
        <w:rPr>
          <w:b/>
          <w:szCs w:val="24"/>
        </w:rPr>
        <w:t>Example 2</w:t>
      </w:r>
      <w:r w:rsidRPr="00BA15CB">
        <w:rPr>
          <w:bCs/>
          <w:szCs w:val="24"/>
        </w:rPr>
        <w:t>: Same facts as in the previous example, except the couple’s MAGI is $190,000.</w:t>
      </w:r>
    </w:p>
    <w:p w14:paraId="2B72B372" w14:textId="1567DAC8" w:rsidR="00A76B16" w:rsidRPr="00BA15CB" w:rsidRDefault="00A76B16" w:rsidP="00A76B16">
      <w:pPr>
        <w:rPr>
          <w:bCs/>
          <w:szCs w:val="24"/>
        </w:rPr>
      </w:pPr>
      <w:r w:rsidRPr="00BA15CB">
        <w:rPr>
          <w:bCs/>
          <w:szCs w:val="24"/>
        </w:rPr>
        <w:t>The phaseout amount would be $2,000 ([($190,000 - $150,000</w:t>
      </w:r>
      <w:r w:rsidR="0070275D">
        <w:rPr>
          <w:bCs/>
          <w:szCs w:val="24"/>
        </w:rPr>
        <w:t xml:space="preserve"> = $40,000</w:t>
      </w:r>
      <w:r w:rsidRPr="00BA15CB">
        <w:rPr>
          <w:bCs/>
          <w:szCs w:val="24"/>
        </w:rPr>
        <w:t>) / $1,000] x $50), which</w:t>
      </w:r>
      <w:r w:rsidR="00355172" w:rsidRPr="00BA15CB">
        <w:rPr>
          <w:bCs/>
          <w:szCs w:val="24"/>
        </w:rPr>
        <w:t xml:space="preserve"> </w:t>
      </w:r>
      <w:proofErr w:type="gramStart"/>
      <w:r w:rsidRPr="00BA15CB">
        <w:rPr>
          <w:bCs/>
          <w:szCs w:val="24"/>
        </w:rPr>
        <w:t xml:space="preserve">completely </w:t>
      </w:r>
      <w:r w:rsidR="00BA15CB" w:rsidRPr="00BA15CB">
        <w:rPr>
          <w:bCs/>
          <w:szCs w:val="24"/>
        </w:rPr>
        <w:t>eliminates</w:t>
      </w:r>
      <w:proofErr w:type="gramEnd"/>
      <w:r w:rsidRPr="00BA15CB">
        <w:rPr>
          <w:bCs/>
          <w:szCs w:val="24"/>
        </w:rPr>
        <w:t xml:space="preserve"> </w:t>
      </w:r>
      <w:r w:rsidR="003C5187">
        <w:rPr>
          <w:bCs/>
          <w:szCs w:val="24"/>
        </w:rPr>
        <w:t>ARPA’s</w:t>
      </w:r>
      <w:r w:rsidRPr="00BA15CB">
        <w:rPr>
          <w:bCs/>
          <w:szCs w:val="24"/>
        </w:rPr>
        <w:t xml:space="preserve"> </w:t>
      </w:r>
      <w:r w:rsidR="003C5187" w:rsidRPr="00BA15CB">
        <w:rPr>
          <w:bCs/>
          <w:szCs w:val="24"/>
        </w:rPr>
        <w:t>additional credit</w:t>
      </w:r>
      <w:r w:rsidR="003C5187">
        <w:rPr>
          <w:bCs/>
          <w:szCs w:val="24"/>
        </w:rPr>
        <w:t xml:space="preserve"> of</w:t>
      </w:r>
      <w:r w:rsidR="003C5187" w:rsidRPr="00BA15CB">
        <w:rPr>
          <w:bCs/>
          <w:szCs w:val="24"/>
        </w:rPr>
        <w:t xml:space="preserve"> </w:t>
      </w:r>
      <w:r w:rsidRPr="00BA15CB">
        <w:rPr>
          <w:bCs/>
          <w:szCs w:val="24"/>
        </w:rPr>
        <w:t xml:space="preserve">$1,600. </w:t>
      </w:r>
      <w:r w:rsidR="00BA15CB" w:rsidRPr="00BA15CB">
        <w:rPr>
          <w:bCs/>
          <w:szCs w:val="24"/>
        </w:rPr>
        <w:t xml:space="preserve"> </w:t>
      </w:r>
      <w:r w:rsidRPr="00BA15CB">
        <w:rPr>
          <w:bCs/>
          <w:szCs w:val="24"/>
        </w:rPr>
        <w:t>However, since their MAGI is under</w:t>
      </w:r>
      <w:r w:rsidR="00AC6F37" w:rsidRPr="00BA15CB">
        <w:rPr>
          <w:bCs/>
          <w:szCs w:val="24"/>
        </w:rPr>
        <w:t xml:space="preserve"> </w:t>
      </w:r>
      <w:r w:rsidRPr="00BA15CB">
        <w:rPr>
          <w:bCs/>
          <w:szCs w:val="24"/>
        </w:rPr>
        <w:t>$400,000, they would receive the regular $2,000 credit.</w:t>
      </w:r>
    </w:p>
    <w:p w14:paraId="715BB28E" w14:textId="77777777" w:rsidR="00AC6F37" w:rsidRPr="00AC6F37" w:rsidRDefault="00AC6F37" w:rsidP="00A76B16">
      <w:pPr>
        <w:rPr>
          <w:bCs/>
          <w:szCs w:val="24"/>
          <w:highlight w:val="yellow"/>
        </w:rPr>
      </w:pPr>
    </w:p>
    <w:p w14:paraId="49D01411" w14:textId="23512D86" w:rsidR="00816BCB" w:rsidRDefault="00816BCB" w:rsidP="00A76B16">
      <w:pPr>
        <w:rPr>
          <w:bCs/>
          <w:szCs w:val="24"/>
        </w:rPr>
      </w:pPr>
      <w:r>
        <w:rPr>
          <w:bCs/>
          <w:i/>
          <w:iCs/>
          <w:szCs w:val="24"/>
        </w:rPr>
        <w:t xml:space="preserve">Refundable Portion of Credit.  </w:t>
      </w:r>
      <w:r>
        <w:rPr>
          <w:bCs/>
          <w:szCs w:val="24"/>
        </w:rPr>
        <w:t>Another</w:t>
      </w:r>
      <w:r w:rsidR="00A76B16" w:rsidRPr="0070275D">
        <w:rPr>
          <w:bCs/>
          <w:szCs w:val="24"/>
        </w:rPr>
        <w:t xml:space="preserve"> </w:t>
      </w:r>
      <w:r w:rsidR="003C5187">
        <w:rPr>
          <w:bCs/>
          <w:szCs w:val="24"/>
        </w:rPr>
        <w:t>benefit—but only</w:t>
      </w:r>
      <w:r w:rsidR="00A76B16" w:rsidRPr="0070275D">
        <w:rPr>
          <w:bCs/>
          <w:szCs w:val="24"/>
        </w:rPr>
        <w:t xml:space="preserve"> for 2021</w:t>
      </w:r>
      <w:r w:rsidR="003C5187">
        <w:rPr>
          <w:bCs/>
          <w:szCs w:val="24"/>
        </w:rPr>
        <w:t xml:space="preserve">—is </w:t>
      </w:r>
      <w:r w:rsidR="00A76B16" w:rsidRPr="0070275D">
        <w:rPr>
          <w:bCs/>
          <w:szCs w:val="24"/>
        </w:rPr>
        <w:t>that the credit is fully refundable</w:t>
      </w:r>
      <w:r w:rsidR="0014657F">
        <w:rPr>
          <w:bCs/>
          <w:szCs w:val="24"/>
        </w:rPr>
        <w:t xml:space="preserve">.  </w:t>
      </w:r>
      <w:r w:rsidR="003C5187">
        <w:rPr>
          <w:bCs/>
          <w:szCs w:val="24"/>
        </w:rPr>
        <w:t>Previously</w:t>
      </w:r>
      <w:r w:rsidR="0014657F">
        <w:rPr>
          <w:bCs/>
          <w:szCs w:val="24"/>
        </w:rPr>
        <w:t>, on</w:t>
      </w:r>
      <w:r>
        <w:rPr>
          <w:bCs/>
          <w:szCs w:val="24"/>
        </w:rPr>
        <w:t>ly</w:t>
      </w:r>
      <w:r w:rsidR="0014657F">
        <w:rPr>
          <w:bCs/>
          <w:szCs w:val="24"/>
        </w:rPr>
        <w:t xml:space="preserve"> </w:t>
      </w:r>
      <w:r w:rsidR="0014657F" w:rsidRPr="0014657F">
        <w:rPr>
          <w:bCs/>
          <w:szCs w:val="24"/>
        </w:rPr>
        <w:t xml:space="preserve">$1,400 of the overall $2,000 credit </w:t>
      </w:r>
      <w:r w:rsidR="0014657F" w:rsidRPr="0014657F">
        <w:rPr>
          <w:bCs/>
          <w:szCs w:val="24"/>
        </w:rPr>
        <w:t xml:space="preserve">was </w:t>
      </w:r>
      <w:r w:rsidR="0014657F" w:rsidRPr="0014657F">
        <w:rPr>
          <w:bCs/>
          <w:szCs w:val="24"/>
        </w:rPr>
        <w:t xml:space="preserve">refundable </w:t>
      </w:r>
      <w:r w:rsidR="0014657F" w:rsidRPr="0014657F">
        <w:rPr>
          <w:bCs/>
          <w:szCs w:val="24"/>
        </w:rPr>
        <w:t>(see</w:t>
      </w:r>
      <w:r w:rsidR="0014657F" w:rsidRPr="0014657F">
        <w:rPr>
          <w:bCs/>
          <w:szCs w:val="24"/>
        </w:rPr>
        <w:t xml:space="preserve"> page</w:t>
      </w:r>
      <w:r w:rsidR="0014657F">
        <w:rPr>
          <w:bCs/>
          <w:szCs w:val="24"/>
        </w:rPr>
        <w:t>s</w:t>
      </w:r>
      <w:r w:rsidR="0014657F" w:rsidRPr="0014657F">
        <w:rPr>
          <w:bCs/>
          <w:szCs w:val="24"/>
        </w:rPr>
        <w:t xml:space="preserve"> 4-13 and 13-59).</w:t>
      </w:r>
      <w:r w:rsidR="0014657F">
        <w:rPr>
          <w:bCs/>
          <w:szCs w:val="24"/>
        </w:rPr>
        <w:t xml:space="preserve">  </w:t>
      </w:r>
    </w:p>
    <w:p w14:paraId="39EFB5FA" w14:textId="77777777" w:rsidR="00816BCB" w:rsidRDefault="00816BCB" w:rsidP="00A76B16">
      <w:pPr>
        <w:rPr>
          <w:bCs/>
          <w:szCs w:val="24"/>
        </w:rPr>
      </w:pPr>
    </w:p>
    <w:p w14:paraId="3BB28CD0" w14:textId="4E9EB76D" w:rsidR="00A76B16" w:rsidRDefault="00A76B16" w:rsidP="00A76B16">
      <w:pPr>
        <w:rPr>
          <w:bCs/>
          <w:szCs w:val="24"/>
        </w:rPr>
      </w:pPr>
      <w:r w:rsidRPr="0070275D">
        <w:rPr>
          <w:bCs/>
          <w:szCs w:val="24"/>
        </w:rPr>
        <w:t xml:space="preserve">Taxpayers can receive half of their estimated total child tax credit in advance in six payments spread over the last half of 2021. </w:t>
      </w:r>
      <w:r w:rsidR="0070275D" w:rsidRPr="0070275D">
        <w:rPr>
          <w:bCs/>
          <w:szCs w:val="24"/>
        </w:rPr>
        <w:t xml:space="preserve"> </w:t>
      </w:r>
      <w:r w:rsidRPr="0070275D">
        <w:rPr>
          <w:bCs/>
          <w:szCs w:val="24"/>
        </w:rPr>
        <w:t>The estimated amount is based on their 2019 income tax return</w:t>
      </w:r>
      <w:r w:rsidR="0070275D" w:rsidRPr="0070275D">
        <w:rPr>
          <w:bCs/>
          <w:szCs w:val="24"/>
        </w:rPr>
        <w:t xml:space="preserve"> </w:t>
      </w:r>
      <w:r w:rsidR="0070275D" w:rsidRPr="0070275D">
        <w:rPr>
          <w:bCs/>
          <w:szCs w:val="24"/>
        </w:rPr>
        <w:t>(or 2020, if filed)</w:t>
      </w:r>
      <w:r w:rsidRPr="0070275D">
        <w:rPr>
          <w:bCs/>
          <w:szCs w:val="24"/>
        </w:rPr>
        <w:t>.</w:t>
      </w:r>
      <w:r w:rsidR="0014657F">
        <w:rPr>
          <w:bCs/>
          <w:szCs w:val="24"/>
        </w:rPr>
        <w:t xml:space="preserve"> </w:t>
      </w:r>
      <w:r w:rsidRPr="0070275D">
        <w:rPr>
          <w:bCs/>
          <w:szCs w:val="24"/>
        </w:rPr>
        <w:t xml:space="preserve"> However, taxpayers who receive advance payments </w:t>
      </w:r>
      <w:proofErr w:type="gramStart"/>
      <w:r w:rsidRPr="0070275D">
        <w:rPr>
          <w:bCs/>
          <w:szCs w:val="24"/>
        </w:rPr>
        <w:t>in excess of</w:t>
      </w:r>
      <w:proofErr w:type="gramEnd"/>
      <w:r w:rsidRPr="0070275D">
        <w:rPr>
          <w:bCs/>
          <w:szCs w:val="24"/>
        </w:rPr>
        <w:t xml:space="preserve"> their allowable 2021 child tax credit must pay back the excess by increasing their 2021 tax liability. </w:t>
      </w:r>
      <w:r w:rsidR="0070275D" w:rsidRPr="0070275D">
        <w:rPr>
          <w:bCs/>
          <w:szCs w:val="24"/>
        </w:rPr>
        <w:t xml:space="preserve"> </w:t>
      </w:r>
    </w:p>
    <w:p w14:paraId="755D8AC9" w14:textId="77777777" w:rsidR="0014657F" w:rsidRPr="001E6023" w:rsidRDefault="0014657F" w:rsidP="00A76B16">
      <w:pPr>
        <w:rPr>
          <w:bCs/>
          <w:szCs w:val="24"/>
        </w:rPr>
      </w:pPr>
    </w:p>
    <w:p w14:paraId="4BD0E7EB" w14:textId="38C83FD7" w:rsidR="00A76B16" w:rsidRPr="00526319" w:rsidRDefault="00A76B16" w:rsidP="00A76B16">
      <w:pPr>
        <w:rPr>
          <w:bCs/>
          <w:szCs w:val="24"/>
        </w:rPr>
      </w:pPr>
      <w:r>
        <w:rPr>
          <w:bCs/>
          <w:i/>
          <w:iCs/>
          <w:szCs w:val="24"/>
        </w:rPr>
        <w:t xml:space="preserve">Revised Definition of Qualifying Child.  </w:t>
      </w:r>
      <w:r w:rsidR="0014657F">
        <w:rPr>
          <w:bCs/>
          <w:szCs w:val="24"/>
        </w:rPr>
        <w:t xml:space="preserve">As may be apparent, </w:t>
      </w:r>
      <w:r w:rsidRPr="00DA2D89">
        <w:rPr>
          <w:bCs/>
          <w:szCs w:val="24"/>
        </w:rPr>
        <w:t>ARPA</w:t>
      </w:r>
      <w:r w:rsidRPr="00526319">
        <w:rPr>
          <w:bCs/>
          <w:szCs w:val="24"/>
        </w:rPr>
        <w:t xml:space="preserve"> expands the child tax credit in several ways</w:t>
      </w:r>
      <w:r>
        <w:rPr>
          <w:bCs/>
          <w:szCs w:val="24"/>
        </w:rPr>
        <w:t>.  ARPA</w:t>
      </w:r>
      <w:r w:rsidRPr="00526319">
        <w:rPr>
          <w:bCs/>
          <w:szCs w:val="24"/>
        </w:rPr>
        <w:t xml:space="preserve"> makes 17-year-olds eligible </w:t>
      </w:r>
      <w:r w:rsidR="00816BCB">
        <w:rPr>
          <w:bCs/>
          <w:szCs w:val="24"/>
        </w:rPr>
        <w:t>(i.e., they are</w:t>
      </w:r>
      <w:r w:rsidRPr="00526319">
        <w:rPr>
          <w:bCs/>
          <w:szCs w:val="24"/>
        </w:rPr>
        <w:t xml:space="preserve"> “qualifying</w:t>
      </w:r>
      <w:r>
        <w:rPr>
          <w:bCs/>
          <w:szCs w:val="24"/>
        </w:rPr>
        <w:t xml:space="preserve"> </w:t>
      </w:r>
      <w:r w:rsidRPr="00526319">
        <w:rPr>
          <w:bCs/>
          <w:szCs w:val="24"/>
        </w:rPr>
        <w:t>children” as opposed to</w:t>
      </w:r>
      <w:r w:rsidR="00816BCB">
        <w:rPr>
          <w:bCs/>
          <w:szCs w:val="24"/>
        </w:rPr>
        <w:t xml:space="preserve"> only</w:t>
      </w:r>
      <w:r w:rsidRPr="00526319">
        <w:rPr>
          <w:bCs/>
          <w:szCs w:val="24"/>
        </w:rPr>
        <w:t xml:space="preserve"> those children under age 17 as of the last day of the tax year).</w:t>
      </w:r>
      <w:r>
        <w:rPr>
          <w:bCs/>
          <w:szCs w:val="24"/>
        </w:rPr>
        <w:t xml:space="preserve">  </w:t>
      </w:r>
      <w:r w:rsidR="00816BCB">
        <w:rPr>
          <w:bCs/>
          <w:szCs w:val="24"/>
        </w:rPr>
        <w:t>Technically, ARP</w:t>
      </w:r>
      <w:r w:rsidRPr="001E6023">
        <w:rPr>
          <w:bCs/>
          <w:szCs w:val="24"/>
        </w:rPr>
        <w:t>A</w:t>
      </w:r>
      <w:r w:rsidR="00816BCB">
        <w:rPr>
          <w:bCs/>
          <w:szCs w:val="24"/>
        </w:rPr>
        <w:t xml:space="preserve"> defines  a</w:t>
      </w:r>
      <w:r w:rsidRPr="001E6023">
        <w:rPr>
          <w:bCs/>
          <w:szCs w:val="24"/>
        </w:rPr>
        <w:t xml:space="preserve"> “qualifying child” as an under-age-</w:t>
      </w:r>
      <w:r w:rsidR="0052010F">
        <w:rPr>
          <w:bCs/>
          <w:szCs w:val="24"/>
        </w:rPr>
        <w:t>1</w:t>
      </w:r>
      <w:r w:rsidRPr="001E6023">
        <w:rPr>
          <w:bCs/>
          <w:szCs w:val="24"/>
        </w:rPr>
        <w:t>8 child, whom the taxpayer</w:t>
      </w:r>
      <w:r>
        <w:rPr>
          <w:bCs/>
          <w:szCs w:val="24"/>
        </w:rPr>
        <w:t xml:space="preserve"> </w:t>
      </w:r>
      <w:r w:rsidRPr="001E6023">
        <w:rPr>
          <w:bCs/>
          <w:szCs w:val="24"/>
        </w:rPr>
        <w:t>could claim as a dependent (i.e., a child related to the taxpayer who, generally, lived with the taxpayer for at</w:t>
      </w:r>
      <w:r>
        <w:rPr>
          <w:bCs/>
          <w:szCs w:val="24"/>
        </w:rPr>
        <w:t xml:space="preserve"> </w:t>
      </w:r>
      <w:r w:rsidRPr="001E6023">
        <w:rPr>
          <w:bCs/>
          <w:szCs w:val="24"/>
        </w:rPr>
        <w:t>least six months during the year), and who was a U.S. citizen or national, or a U.S. resident.</w:t>
      </w:r>
      <w:r w:rsidR="0052010F" w:rsidRPr="0052010F">
        <w:rPr>
          <w:bCs/>
          <w:szCs w:val="24"/>
        </w:rPr>
        <w:t xml:space="preserve"> </w:t>
      </w:r>
      <w:r w:rsidR="0052010F">
        <w:rPr>
          <w:bCs/>
          <w:szCs w:val="24"/>
        </w:rPr>
        <w:t xml:space="preserve"> </w:t>
      </w:r>
    </w:p>
    <w:p w14:paraId="5995F5E4" w14:textId="15D187DB" w:rsidR="00A76B16" w:rsidRPr="00526319" w:rsidRDefault="0060500D" w:rsidP="00A76B16">
      <w:pPr>
        <w:rPr>
          <w:bCs/>
          <w:szCs w:val="24"/>
        </w:rPr>
      </w:pPr>
      <w:r>
        <w:rPr>
          <w:bCs/>
          <w:szCs w:val="24"/>
        </w:rPr>
        <w:tab/>
      </w:r>
      <w:r w:rsidR="00A76B16" w:rsidRPr="00DF2369">
        <w:rPr>
          <w:bCs/>
          <w:szCs w:val="24"/>
        </w:rPr>
        <w:t xml:space="preserve">For 2021, taxpayers can claim a $500 nonrefundable credit for a dependent who does not meet the </w:t>
      </w:r>
      <w:r w:rsidR="00A76B16" w:rsidRPr="00023417">
        <w:rPr>
          <w:bCs/>
          <w:szCs w:val="24"/>
        </w:rPr>
        <w:t>ARPA’s</w:t>
      </w:r>
      <w:r w:rsidR="00A76B16" w:rsidRPr="00DF2369">
        <w:rPr>
          <w:bCs/>
          <w:szCs w:val="24"/>
        </w:rPr>
        <w:t xml:space="preserve"> expanded definition of a qualifying child (</w:t>
      </w:r>
      <w:r w:rsidR="00033375">
        <w:rPr>
          <w:bCs/>
          <w:szCs w:val="24"/>
        </w:rPr>
        <w:t>e.g.</w:t>
      </w:r>
      <w:r w:rsidR="00A76B16" w:rsidRPr="00DF2369">
        <w:rPr>
          <w:bCs/>
          <w:szCs w:val="24"/>
        </w:rPr>
        <w:t xml:space="preserve">, a dependent child who will be age 18 or older as of </w:t>
      </w:r>
      <w:r w:rsidR="00033375">
        <w:rPr>
          <w:bCs/>
          <w:szCs w:val="24"/>
        </w:rPr>
        <w:t>December 31, 2021</w:t>
      </w:r>
      <w:r w:rsidR="00A76B16" w:rsidRPr="00DF2369">
        <w:rPr>
          <w:bCs/>
          <w:szCs w:val="24"/>
        </w:rPr>
        <w:t>)</w:t>
      </w:r>
      <w:r w:rsidR="00033375">
        <w:rPr>
          <w:bCs/>
          <w:szCs w:val="24"/>
        </w:rPr>
        <w:t>.</w:t>
      </w:r>
    </w:p>
    <w:p w14:paraId="0D0F2CD3" w14:textId="25A75F43" w:rsidR="00A76B16" w:rsidRDefault="00A76B16" w:rsidP="00ED708E">
      <w:pPr>
        <w:rPr>
          <w:szCs w:val="24"/>
        </w:rPr>
      </w:pPr>
    </w:p>
    <w:p w14:paraId="2A7B103F" w14:textId="10470EC6" w:rsidR="00312948" w:rsidRDefault="00A76B16" w:rsidP="00A76B16">
      <w:pPr>
        <w:rPr>
          <w:b/>
          <w:bCs/>
          <w:color w:val="000000"/>
        </w:rPr>
      </w:pPr>
      <w:r w:rsidRPr="00B85768">
        <w:rPr>
          <w:b/>
          <w:bCs/>
          <w:color w:val="000000"/>
        </w:rPr>
        <w:t>Unemployment Benefits</w:t>
      </w:r>
      <w:r>
        <w:rPr>
          <w:b/>
          <w:bCs/>
          <w:color w:val="000000"/>
        </w:rPr>
        <w:t xml:space="preserve"> </w:t>
      </w:r>
    </w:p>
    <w:p w14:paraId="110E77A8" w14:textId="77777777" w:rsidR="003C5187" w:rsidRDefault="003C5187" w:rsidP="00A76B16">
      <w:pPr>
        <w:rPr>
          <w:b/>
          <w:bCs/>
          <w:color w:val="000000"/>
        </w:rPr>
      </w:pPr>
    </w:p>
    <w:p w14:paraId="554B809F" w14:textId="2D338DB9" w:rsidR="00A76B16" w:rsidRDefault="00355172" w:rsidP="00A76B16">
      <w:pPr>
        <w:rPr>
          <w:color w:val="000000"/>
        </w:rPr>
      </w:pPr>
      <w:r>
        <w:rPr>
          <w:b/>
          <w:bCs/>
          <w:color w:val="000000"/>
        </w:rPr>
        <w:t>Increased Benefits</w:t>
      </w:r>
      <w:r w:rsidR="00A76B16" w:rsidRPr="00B85768">
        <w:rPr>
          <w:b/>
          <w:bCs/>
          <w:color w:val="000000"/>
        </w:rPr>
        <w:t xml:space="preserve">.  </w:t>
      </w:r>
      <w:r w:rsidR="00A76B16">
        <w:rPr>
          <w:color w:val="000000"/>
        </w:rPr>
        <w:t xml:space="preserve">To aid the unemployed, the Cares Act expanded unemployment benefits and </w:t>
      </w:r>
      <w:r w:rsidR="00A76B16" w:rsidRPr="00CE5056">
        <w:rPr>
          <w:color w:val="000000"/>
        </w:rPr>
        <w:t>ARPA</w:t>
      </w:r>
      <w:r w:rsidR="00A76B16">
        <w:rPr>
          <w:color w:val="000000"/>
        </w:rPr>
        <w:t xml:space="preserve"> continued this approach.  For 2021, </w:t>
      </w:r>
      <w:r w:rsidR="00A76B16" w:rsidRPr="00CE5056">
        <w:rPr>
          <w:color w:val="000000"/>
        </w:rPr>
        <w:t>ARPA</w:t>
      </w:r>
      <w:r w:rsidR="00A76B16">
        <w:rPr>
          <w:color w:val="000000"/>
        </w:rPr>
        <w:t xml:space="preserve"> increased the amount of the weekly unemployment checks as well as the total number of weeks that benefits are paid</w:t>
      </w:r>
      <w:r w:rsidR="00A76B16" w:rsidRPr="00606622">
        <w:rPr>
          <w:color w:val="000000"/>
        </w:rPr>
        <w:t xml:space="preserve">. </w:t>
      </w:r>
      <w:r w:rsidR="00A76B16">
        <w:rPr>
          <w:color w:val="000000"/>
        </w:rPr>
        <w:t xml:space="preserve"> The new law added $300 to weekly unemployment payments through September 6, 2021.  Self-employed and gig economy workers are eligible for the increase as well.</w:t>
      </w:r>
    </w:p>
    <w:p w14:paraId="4C924175" w14:textId="77777777" w:rsidR="00A76B16" w:rsidRDefault="00A76B16" w:rsidP="00A76B16">
      <w:pPr>
        <w:rPr>
          <w:color w:val="000000"/>
        </w:rPr>
      </w:pPr>
    </w:p>
    <w:p w14:paraId="21E5FC59" w14:textId="0411BBB0" w:rsidR="00A76B16" w:rsidRDefault="00A76B16" w:rsidP="00A76B16">
      <w:pPr>
        <w:rPr>
          <w:color w:val="000000"/>
        </w:rPr>
      </w:pPr>
      <w:r w:rsidRPr="002626FD">
        <w:rPr>
          <w:b/>
          <w:bCs/>
          <w:color w:val="000000"/>
        </w:rPr>
        <w:t>Exclusion</w:t>
      </w:r>
      <w:r w:rsidRPr="002626FD">
        <w:rPr>
          <w:color w:val="000000"/>
        </w:rPr>
        <w:t xml:space="preserve">. </w:t>
      </w:r>
      <w:r>
        <w:rPr>
          <w:color w:val="000000"/>
        </w:rPr>
        <w:t xml:space="preserve"> </w:t>
      </w:r>
      <w:r w:rsidR="00B26FCC">
        <w:rPr>
          <w:color w:val="000000"/>
        </w:rPr>
        <w:t>Before</w:t>
      </w:r>
      <w:r>
        <w:rPr>
          <w:color w:val="000000"/>
        </w:rPr>
        <w:t xml:space="preserve"> 1979, unemployment benefits were not considered taxable income.  But that changed when Congress made the benefits fully taxable in 1979.  However, </w:t>
      </w:r>
      <w:r w:rsidR="00B26FCC">
        <w:rPr>
          <w:color w:val="000000"/>
        </w:rPr>
        <w:t>considering</w:t>
      </w:r>
      <w:r>
        <w:rPr>
          <w:color w:val="000000"/>
        </w:rPr>
        <w:t xml:space="preserve"> the hardships brought about by the pandemic, Congress allowed certain taxpayers to exclude a portion of their unemployment benefits.  </w:t>
      </w:r>
      <w:r w:rsidRPr="00CE5056">
        <w:rPr>
          <w:color w:val="000000"/>
        </w:rPr>
        <w:t>ARPA</w:t>
      </w:r>
      <w:r w:rsidRPr="00606622">
        <w:rPr>
          <w:color w:val="000000"/>
        </w:rPr>
        <w:t xml:space="preserve"> </w:t>
      </w:r>
      <w:r>
        <w:rPr>
          <w:color w:val="000000"/>
        </w:rPr>
        <w:t xml:space="preserve">retroactively </w:t>
      </w:r>
      <w:r w:rsidRPr="00606622">
        <w:rPr>
          <w:color w:val="000000"/>
        </w:rPr>
        <w:t xml:space="preserve">makes the first $10,200 </w:t>
      </w:r>
      <w:r>
        <w:rPr>
          <w:color w:val="000000"/>
        </w:rPr>
        <w:t>of</w:t>
      </w:r>
      <w:r w:rsidRPr="00606622">
        <w:rPr>
          <w:color w:val="000000"/>
        </w:rPr>
        <w:t xml:space="preserve"> unemployment benefits </w:t>
      </w:r>
      <w:r>
        <w:rPr>
          <w:color w:val="000000"/>
        </w:rPr>
        <w:t xml:space="preserve">received </w:t>
      </w:r>
      <w:r w:rsidRPr="00606622">
        <w:rPr>
          <w:color w:val="000000"/>
        </w:rPr>
        <w:t>in 2020</w:t>
      </w:r>
      <w:r>
        <w:rPr>
          <w:color w:val="000000"/>
        </w:rPr>
        <w:t xml:space="preserve"> </w:t>
      </w:r>
      <w:r w:rsidRPr="00606622">
        <w:rPr>
          <w:color w:val="000000"/>
        </w:rPr>
        <w:t xml:space="preserve">tax-free </w:t>
      </w:r>
      <w:r>
        <w:rPr>
          <w:color w:val="000000"/>
        </w:rPr>
        <w:t xml:space="preserve">but only </w:t>
      </w:r>
      <w:r w:rsidRPr="00606622">
        <w:rPr>
          <w:color w:val="000000"/>
        </w:rPr>
        <w:t xml:space="preserve">for taxpayers </w:t>
      </w:r>
      <w:r>
        <w:rPr>
          <w:color w:val="000000"/>
        </w:rPr>
        <w:t xml:space="preserve">with </w:t>
      </w:r>
      <w:r w:rsidRPr="002626FD">
        <w:rPr>
          <w:i/>
          <w:iCs/>
          <w:color w:val="000000"/>
        </w:rPr>
        <w:t>modified AGI</w:t>
      </w:r>
      <w:r>
        <w:rPr>
          <w:color w:val="000000"/>
        </w:rPr>
        <w:t xml:space="preserve"> less than </w:t>
      </w:r>
      <w:r w:rsidRPr="00606622">
        <w:rPr>
          <w:color w:val="000000"/>
        </w:rPr>
        <w:t>$150,000 per year</w:t>
      </w:r>
      <w:r>
        <w:rPr>
          <w:color w:val="000000"/>
        </w:rPr>
        <w:t xml:space="preserve"> (§ 85)</w:t>
      </w:r>
      <w:r w:rsidRPr="00606622">
        <w:rPr>
          <w:color w:val="000000"/>
        </w:rPr>
        <w:t xml:space="preserve">. </w:t>
      </w:r>
      <w:r>
        <w:rPr>
          <w:color w:val="000000"/>
        </w:rPr>
        <w:t xml:space="preserve"> </w:t>
      </w:r>
      <w:r w:rsidRPr="00C27686">
        <w:rPr>
          <w:color w:val="000000"/>
        </w:rPr>
        <w:t xml:space="preserve">If married, each spouse receiving unemployment </w:t>
      </w:r>
      <w:r w:rsidR="00B26FCC">
        <w:rPr>
          <w:color w:val="000000"/>
        </w:rPr>
        <w:t>benefits</w:t>
      </w:r>
      <w:r w:rsidRPr="00C27686">
        <w:rPr>
          <w:color w:val="000000"/>
        </w:rPr>
        <w:t xml:space="preserve"> may exclude up to $10,200</w:t>
      </w:r>
      <w:r>
        <w:rPr>
          <w:color w:val="000000"/>
        </w:rPr>
        <w:t xml:space="preserve"> or a total of $20,400 for both</w:t>
      </w:r>
      <w:r w:rsidRPr="00C27686">
        <w:rPr>
          <w:color w:val="000000"/>
        </w:rPr>
        <w:t>.</w:t>
      </w:r>
      <w:r w:rsidR="00704393">
        <w:rPr>
          <w:color w:val="000000"/>
        </w:rPr>
        <w:t xml:space="preserve">  </w:t>
      </w:r>
      <w:r w:rsidRPr="006B649B">
        <w:rPr>
          <w:color w:val="000000"/>
        </w:rPr>
        <w:t xml:space="preserve">For example, if </w:t>
      </w:r>
      <w:r>
        <w:rPr>
          <w:color w:val="000000"/>
        </w:rPr>
        <w:t xml:space="preserve">a </w:t>
      </w:r>
      <w:r w:rsidR="00AC6F37">
        <w:rPr>
          <w:color w:val="000000"/>
        </w:rPr>
        <w:t>taxpayer</w:t>
      </w:r>
      <w:r w:rsidRPr="006B649B">
        <w:rPr>
          <w:color w:val="000000"/>
        </w:rPr>
        <w:t xml:space="preserve"> received $25,000 in benefits and </w:t>
      </w:r>
      <w:r>
        <w:rPr>
          <w:color w:val="000000"/>
        </w:rPr>
        <w:t>his or her</w:t>
      </w:r>
      <w:r w:rsidRPr="006B649B">
        <w:rPr>
          <w:color w:val="000000"/>
        </w:rPr>
        <w:t xml:space="preserve"> spouse received $7,000, they could exclude $17,200 of unemployment benefits on their joint 2020 return</w:t>
      </w:r>
      <w:r>
        <w:rPr>
          <w:color w:val="000000"/>
        </w:rPr>
        <w:t xml:space="preserve"> ($10,200 husband and $7,000 wife).  </w:t>
      </w:r>
      <w:r w:rsidR="00B26FCC">
        <w:rPr>
          <w:color w:val="000000"/>
        </w:rPr>
        <w:t>The</w:t>
      </w:r>
      <w:r>
        <w:rPr>
          <w:color w:val="000000"/>
        </w:rPr>
        <w:t xml:space="preserve"> $150,000 threshold is the same regardless of filing status (e.g.,</w:t>
      </w:r>
      <w:r w:rsidRPr="00606622">
        <w:rPr>
          <w:color w:val="000000"/>
        </w:rPr>
        <w:t xml:space="preserve"> single taxpayer, </w:t>
      </w:r>
      <w:r>
        <w:rPr>
          <w:color w:val="000000"/>
        </w:rPr>
        <w:t>head of household</w:t>
      </w:r>
      <w:r w:rsidRPr="00606622">
        <w:rPr>
          <w:color w:val="000000"/>
        </w:rPr>
        <w:t xml:space="preserve">, or </w:t>
      </w:r>
      <w:r>
        <w:rPr>
          <w:color w:val="000000"/>
        </w:rPr>
        <w:t>jointly)</w:t>
      </w:r>
      <w:r w:rsidRPr="00606622">
        <w:rPr>
          <w:color w:val="000000"/>
        </w:rPr>
        <w:t xml:space="preserve">. </w:t>
      </w:r>
      <w:r>
        <w:rPr>
          <w:color w:val="000000"/>
        </w:rPr>
        <w:t xml:space="preserve"> In addition</w:t>
      </w:r>
      <w:r w:rsidRPr="00606622">
        <w:rPr>
          <w:color w:val="000000"/>
        </w:rPr>
        <w:t xml:space="preserve">, the law does not provide for any phaseout mechanism. </w:t>
      </w:r>
      <w:r>
        <w:rPr>
          <w:color w:val="000000"/>
        </w:rPr>
        <w:t xml:space="preserve"> For </w:t>
      </w:r>
      <w:r w:rsidRPr="00606622">
        <w:rPr>
          <w:color w:val="000000"/>
        </w:rPr>
        <w:t>taxpayer</w:t>
      </w:r>
      <w:r>
        <w:rPr>
          <w:color w:val="000000"/>
        </w:rPr>
        <w:t>s</w:t>
      </w:r>
      <w:r w:rsidRPr="00606622">
        <w:rPr>
          <w:color w:val="000000"/>
        </w:rPr>
        <w:t xml:space="preserve"> </w:t>
      </w:r>
      <w:r>
        <w:rPr>
          <w:color w:val="000000"/>
        </w:rPr>
        <w:t>with</w:t>
      </w:r>
      <w:r w:rsidRPr="00606622">
        <w:rPr>
          <w:color w:val="000000"/>
        </w:rPr>
        <w:t xml:space="preserve"> $150,000</w:t>
      </w:r>
      <w:r>
        <w:rPr>
          <w:color w:val="000000"/>
        </w:rPr>
        <w:t xml:space="preserve"> </w:t>
      </w:r>
      <w:r w:rsidRPr="00606622">
        <w:rPr>
          <w:color w:val="000000"/>
        </w:rPr>
        <w:t>or more of AGI, their unemployment benefits would be fully</w:t>
      </w:r>
      <w:r>
        <w:rPr>
          <w:color w:val="000000"/>
        </w:rPr>
        <w:t xml:space="preserve"> </w:t>
      </w:r>
      <w:r w:rsidRPr="00606622">
        <w:rPr>
          <w:color w:val="000000"/>
        </w:rPr>
        <w:t xml:space="preserve">taxable. </w:t>
      </w:r>
      <w:r>
        <w:rPr>
          <w:color w:val="000000"/>
        </w:rPr>
        <w:t xml:space="preserve"> </w:t>
      </w:r>
      <w:r w:rsidRPr="00606622">
        <w:rPr>
          <w:color w:val="000000"/>
        </w:rPr>
        <w:t>Perhaps Congress (or, the IRS) will act to clarify this provision, but at this point that is how the new</w:t>
      </w:r>
      <w:r>
        <w:rPr>
          <w:color w:val="000000"/>
        </w:rPr>
        <w:t xml:space="preserve"> </w:t>
      </w:r>
      <w:r w:rsidRPr="00606622">
        <w:rPr>
          <w:color w:val="000000"/>
        </w:rPr>
        <w:t>law reads.</w:t>
      </w:r>
      <w:r>
        <w:rPr>
          <w:color w:val="000000"/>
        </w:rPr>
        <w:t xml:space="preserve">  </w:t>
      </w:r>
    </w:p>
    <w:p w14:paraId="0F0EA9D1" w14:textId="77777777" w:rsidR="00A76B16" w:rsidRDefault="00A76B16" w:rsidP="00A76B16">
      <w:pPr>
        <w:rPr>
          <w:color w:val="000000"/>
        </w:rPr>
      </w:pPr>
      <w:r>
        <w:rPr>
          <w:color w:val="000000"/>
        </w:rPr>
        <w:tab/>
      </w:r>
      <w:r w:rsidRPr="006B649B">
        <w:rPr>
          <w:color w:val="000000"/>
        </w:rPr>
        <w:t>Modified AGI for this purpose is determined after including taxable Social Security and railroad retirement benefits; excluding U.S. savings bond interest and the nontaxable portion of qualified adoption assistance; and deducting qualified retirement plan contributions, student loan interest, and qualified tuition and related expenses (which was repealed for tax years beginning after 2020).</w:t>
      </w:r>
    </w:p>
    <w:p w14:paraId="40C37035" w14:textId="258318FE" w:rsidR="00A76B16" w:rsidRDefault="00A76B16" w:rsidP="00A76B16">
      <w:pPr>
        <w:rPr>
          <w:color w:val="000000"/>
        </w:rPr>
      </w:pPr>
      <w:r>
        <w:rPr>
          <w:color w:val="000000"/>
        </w:rPr>
        <w:lastRenderedPageBreak/>
        <w:t xml:space="preserve">Another problem concerns taxpayers whose </w:t>
      </w:r>
      <w:r w:rsidRPr="004C04A9">
        <w:rPr>
          <w:color w:val="000000"/>
        </w:rPr>
        <w:t xml:space="preserve">unemployment benefits were delayed </w:t>
      </w:r>
      <w:r>
        <w:rPr>
          <w:color w:val="000000"/>
        </w:rPr>
        <w:t>and</w:t>
      </w:r>
      <w:r w:rsidRPr="004C04A9">
        <w:rPr>
          <w:color w:val="000000"/>
        </w:rPr>
        <w:t xml:space="preserve"> not received until after December 31, 2020</w:t>
      </w:r>
      <w:r>
        <w:rPr>
          <w:color w:val="000000"/>
        </w:rPr>
        <w:t xml:space="preserve">.  </w:t>
      </w:r>
      <w:r w:rsidRPr="004C04A9">
        <w:rPr>
          <w:color w:val="000000"/>
        </w:rPr>
        <w:t xml:space="preserve"> If </w:t>
      </w:r>
      <w:r>
        <w:rPr>
          <w:color w:val="000000"/>
        </w:rPr>
        <w:t>the taxpayer were to receive</w:t>
      </w:r>
      <w:r w:rsidRPr="004C04A9">
        <w:rPr>
          <w:color w:val="000000"/>
        </w:rPr>
        <w:t xml:space="preserve"> benefits for</w:t>
      </w:r>
      <w:r>
        <w:rPr>
          <w:color w:val="000000"/>
        </w:rPr>
        <w:t xml:space="preserve"> </w:t>
      </w:r>
      <w:r w:rsidRPr="004C04A9">
        <w:rPr>
          <w:color w:val="000000"/>
        </w:rPr>
        <w:t>a week in 2020, but did not receive the payment until 2021</w:t>
      </w:r>
      <w:r>
        <w:rPr>
          <w:color w:val="000000"/>
        </w:rPr>
        <w:t>, such amounts would be taxable.  Only time will tell whether Congress addresses this inconsistency.</w:t>
      </w:r>
      <w:r w:rsidRPr="004C04A9">
        <w:rPr>
          <w:color w:val="000000"/>
        </w:rPr>
        <w:t xml:space="preserve"> </w:t>
      </w:r>
      <w:r>
        <w:rPr>
          <w:color w:val="000000"/>
        </w:rPr>
        <w:t xml:space="preserve"> </w:t>
      </w:r>
      <w:r w:rsidR="00B26FCC">
        <w:rPr>
          <w:color w:val="000000"/>
        </w:rPr>
        <w:t>Also note</w:t>
      </w:r>
      <w:r>
        <w:rPr>
          <w:color w:val="000000"/>
        </w:rPr>
        <w:t xml:space="preserve"> that the treatment of unemployment benefits for state tax purposes can differ, depending on where the taxpayer lives.  </w:t>
      </w:r>
      <w:r w:rsidRPr="004C04A9">
        <w:rPr>
          <w:color w:val="000000"/>
        </w:rPr>
        <w:t>In some</w:t>
      </w:r>
      <w:r>
        <w:rPr>
          <w:color w:val="000000"/>
        </w:rPr>
        <w:t xml:space="preserve"> </w:t>
      </w:r>
      <w:r w:rsidRPr="004C04A9">
        <w:rPr>
          <w:color w:val="000000"/>
        </w:rPr>
        <w:t xml:space="preserve">states, such as California, benefits are not taxed at all. </w:t>
      </w:r>
      <w:r>
        <w:rPr>
          <w:color w:val="000000"/>
        </w:rPr>
        <w:t xml:space="preserve"> However, many</w:t>
      </w:r>
      <w:r w:rsidRPr="004C04A9">
        <w:rPr>
          <w:color w:val="000000"/>
        </w:rPr>
        <w:t xml:space="preserve"> other states follow federal law, so the first</w:t>
      </w:r>
      <w:r>
        <w:rPr>
          <w:color w:val="000000"/>
        </w:rPr>
        <w:t xml:space="preserve"> </w:t>
      </w:r>
      <w:r w:rsidRPr="004C04A9">
        <w:rPr>
          <w:color w:val="000000"/>
        </w:rPr>
        <w:t>$10,200 of benefits may be excluded on state tax returns, as well.</w:t>
      </w:r>
    </w:p>
    <w:p w14:paraId="5F4C2376" w14:textId="09052F71" w:rsidR="00704393" w:rsidRDefault="00704393" w:rsidP="00A76B16">
      <w:pPr>
        <w:rPr>
          <w:color w:val="000000"/>
        </w:rPr>
      </w:pPr>
    </w:p>
    <w:p w14:paraId="10D9D59B" w14:textId="77777777" w:rsidR="006F23B5" w:rsidRPr="00704393" w:rsidRDefault="00446B7F" w:rsidP="00446B7F">
      <w:pPr>
        <w:overflowPunct/>
        <w:textAlignment w:val="auto"/>
        <w:rPr>
          <w:b/>
          <w:sz w:val="24"/>
        </w:rPr>
      </w:pPr>
      <w:r w:rsidRPr="00704393">
        <w:rPr>
          <w:b/>
          <w:sz w:val="24"/>
        </w:rPr>
        <w:t xml:space="preserve">Economic Injury Disaster Loans (EIDLs).  </w:t>
      </w:r>
    </w:p>
    <w:p w14:paraId="4419CD6B" w14:textId="77777777" w:rsidR="006F23B5" w:rsidRPr="00704393" w:rsidRDefault="006F23B5" w:rsidP="00446B7F">
      <w:pPr>
        <w:overflowPunct/>
        <w:textAlignment w:val="auto"/>
        <w:rPr>
          <w:b/>
          <w:sz w:val="24"/>
        </w:rPr>
      </w:pPr>
    </w:p>
    <w:p w14:paraId="0B931C1D" w14:textId="322A79A9" w:rsidR="00136E3B" w:rsidRPr="00704393" w:rsidRDefault="00136E3B" w:rsidP="00136E3B">
      <w:pPr>
        <w:overflowPunct/>
        <w:textAlignment w:val="auto"/>
        <w:rPr>
          <w:sz w:val="24"/>
        </w:rPr>
      </w:pPr>
      <w:r w:rsidRPr="00704393">
        <w:rPr>
          <w:sz w:val="24"/>
        </w:rPr>
        <w:t>Beginning March 30, 2020, businesses that suffered due to</w:t>
      </w:r>
      <w:r w:rsidR="00AC6F37">
        <w:rPr>
          <w:sz w:val="24"/>
        </w:rPr>
        <w:t xml:space="preserve"> the</w:t>
      </w:r>
      <w:r w:rsidRPr="00704393">
        <w:rPr>
          <w:sz w:val="24"/>
        </w:rPr>
        <w:t xml:space="preserve"> pandemic could seek financial assistance by applying to the Small Business Administration (SBA) for a so-called Economic Injury Disaster Loan (EIDL or disaster loan).  Such loans were added by CPRSAA, the first piece of legislation concerning COVID-19.  Only businesses with 500 or fewer employees are eligible to apply.  Before the coronavirus, these loans were intended for businesses that have suffered due to natural disasters (e.g., hurricanes) but the Act extends them to businesses that can show they have suffered severe economic hardship because of the coronavirus pandemic.  In the past, a business was required to prove that it was unable to obtain loans elsewhere.  However, this requirement has been waived.</w:t>
      </w:r>
    </w:p>
    <w:p w14:paraId="75A6FD7F" w14:textId="24F86D49" w:rsidR="00446B7F" w:rsidRPr="00704393" w:rsidRDefault="00704393" w:rsidP="00446B7F">
      <w:pPr>
        <w:overflowPunct/>
        <w:textAlignment w:val="auto"/>
        <w:rPr>
          <w:sz w:val="24"/>
        </w:rPr>
      </w:pPr>
      <w:r w:rsidRPr="00704393">
        <w:rPr>
          <w:sz w:val="24"/>
        </w:rPr>
        <w:tab/>
      </w:r>
      <w:r w:rsidR="00446B7F" w:rsidRPr="00704393">
        <w:rPr>
          <w:sz w:val="24"/>
        </w:rPr>
        <w:t>The EIDL program allows eligible businesses to borrow up to $2 million dollars at an interest rate of 3.75% or less. One of the attractive features of a disaster loan is that borrowers are eligible to request an emergency advance while their application is being processed.  Originally</w:t>
      </w:r>
      <w:r w:rsidR="003F0F69" w:rsidRPr="00704393">
        <w:rPr>
          <w:sz w:val="24"/>
        </w:rPr>
        <w:t>,</w:t>
      </w:r>
      <w:r w:rsidR="00446B7F" w:rsidRPr="00704393">
        <w:rPr>
          <w:sz w:val="24"/>
        </w:rPr>
        <w:t xml:space="preserve"> </w:t>
      </w:r>
      <w:r w:rsidR="003F0F69" w:rsidRPr="00704393">
        <w:rPr>
          <w:sz w:val="24"/>
        </w:rPr>
        <w:t xml:space="preserve">the SBA would advance the business </w:t>
      </w:r>
      <w:r w:rsidR="00446B7F" w:rsidRPr="00704393">
        <w:rPr>
          <w:sz w:val="24"/>
        </w:rPr>
        <w:t xml:space="preserve">up to $10,000.  However, on April 14, 2020: the SBA reduced the amount of the advance to $1,000.  In addition, the $10,000 (or $1,000) </w:t>
      </w:r>
      <w:proofErr w:type="gramStart"/>
      <w:r w:rsidR="00446B7F" w:rsidRPr="00704393">
        <w:rPr>
          <w:sz w:val="24"/>
        </w:rPr>
        <w:t>advance</w:t>
      </w:r>
      <w:proofErr w:type="gramEnd"/>
      <w:r w:rsidR="00446B7F" w:rsidRPr="00704393">
        <w:rPr>
          <w:sz w:val="24"/>
        </w:rPr>
        <w:t xml:space="preserve"> does not have to be repaid even if the application is ultimately denied.  The SBA tries to provide the advance within three days of receipt of a borrower’s application. </w:t>
      </w:r>
    </w:p>
    <w:p w14:paraId="2257E3EE" w14:textId="533D1B94" w:rsidR="00446B7F" w:rsidRPr="00704393" w:rsidRDefault="008B5756" w:rsidP="00446B7F">
      <w:pPr>
        <w:overflowPunct/>
        <w:textAlignment w:val="auto"/>
        <w:rPr>
          <w:sz w:val="24"/>
        </w:rPr>
      </w:pPr>
      <w:r w:rsidRPr="00704393">
        <w:rPr>
          <w:sz w:val="24"/>
        </w:rPr>
        <w:tab/>
      </w:r>
      <w:r w:rsidR="00446B7F" w:rsidRPr="00704393">
        <w:rPr>
          <w:sz w:val="24"/>
        </w:rPr>
        <w:t>Independent contractors who work for a separate business (</w:t>
      </w:r>
      <w:proofErr w:type="gramStart"/>
      <w:r w:rsidR="00446B7F" w:rsidRPr="00704393">
        <w:rPr>
          <w:sz w:val="24"/>
        </w:rPr>
        <w:t>e.g.</w:t>
      </w:r>
      <w:proofErr w:type="gramEnd"/>
      <w:r w:rsidR="00446B7F" w:rsidRPr="00704393">
        <w:rPr>
          <w:sz w:val="24"/>
        </w:rPr>
        <w:t xml:space="preserve"> real estate brokers) can qualify for an EIDL if they are able to prove they are separate from that business (e.g. the brokerage firm).  Businesses that have obtained a disaster loan must take these loans into account when applying for a loan under the Paycheck Protection Program as discussed below. </w:t>
      </w:r>
    </w:p>
    <w:p w14:paraId="0EAFFA26" w14:textId="1E396E25" w:rsidR="00A01C5A" w:rsidRDefault="00A01C5A" w:rsidP="00446B7F">
      <w:pPr>
        <w:overflowPunct/>
        <w:textAlignment w:val="auto"/>
        <w:rPr>
          <w:sz w:val="24"/>
          <w:highlight w:val="yellow"/>
        </w:rPr>
      </w:pPr>
    </w:p>
    <w:p w14:paraId="61BB3AC1" w14:textId="0931F47D" w:rsidR="00446B7F" w:rsidRDefault="00446B7F" w:rsidP="00446B7F">
      <w:pPr>
        <w:overflowPunct/>
        <w:textAlignment w:val="auto"/>
        <w:rPr>
          <w:b/>
          <w:sz w:val="24"/>
        </w:rPr>
      </w:pPr>
      <w:r w:rsidRPr="00C67E35">
        <w:rPr>
          <w:b/>
          <w:sz w:val="24"/>
        </w:rPr>
        <w:t>Paycheck Protection Program (PPP Loans)</w:t>
      </w:r>
    </w:p>
    <w:p w14:paraId="5C7D1788" w14:textId="45FC981E" w:rsidR="00C67E35" w:rsidRDefault="00C67E35" w:rsidP="00446B7F">
      <w:pPr>
        <w:overflowPunct/>
        <w:textAlignment w:val="auto"/>
        <w:rPr>
          <w:b/>
          <w:sz w:val="24"/>
        </w:rPr>
      </w:pPr>
    </w:p>
    <w:p w14:paraId="5CF45E9B" w14:textId="77777777" w:rsidR="00C67E35" w:rsidRPr="00B85768" w:rsidRDefault="00C67E35" w:rsidP="00C67E35">
      <w:pPr>
        <w:rPr>
          <w:bCs/>
        </w:rPr>
      </w:pPr>
      <w:r>
        <w:rPr>
          <w:b/>
          <w:bCs/>
        </w:rPr>
        <w:t xml:space="preserve">PPP Loans in General.  </w:t>
      </w:r>
      <w:r>
        <w:rPr>
          <w:bCs/>
        </w:rPr>
        <w:t xml:space="preserve">At this juncture, </w:t>
      </w:r>
      <w:proofErr w:type="gramStart"/>
      <w:r>
        <w:rPr>
          <w:bCs/>
        </w:rPr>
        <w:t>it is clear that the</w:t>
      </w:r>
      <w:proofErr w:type="gramEnd"/>
      <w:r w:rsidRPr="00B85768">
        <w:rPr>
          <w:bCs/>
        </w:rPr>
        <w:t xml:space="preserve"> pandemic has </w:t>
      </w:r>
      <w:r>
        <w:rPr>
          <w:bCs/>
        </w:rPr>
        <w:t>devastated many</w:t>
      </w:r>
      <w:r w:rsidRPr="00B85768">
        <w:rPr>
          <w:bCs/>
        </w:rPr>
        <w:t xml:space="preserve"> small businesses and other organizations.  Many </w:t>
      </w:r>
      <w:r>
        <w:rPr>
          <w:bCs/>
        </w:rPr>
        <w:t>have struggled and were forced to close their</w:t>
      </w:r>
      <w:r w:rsidRPr="00B85768">
        <w:rPr>
          <w:bCs/>
        </w:rPr>
        <w:t xml:space="preserve"> doors</w:t>
      </w:r>
      <w:r>
        <w:rPr>
          <w:bCs/>
        </w:rPr>
        <w:t xml:space="preserve"> and</w:t>
      </w:r>
      <w:r w:rsidRPr="00B85768">
        <w:rPr>
          <w:bCs/>
        </w:rPr>
        <w:t xml:space="preserve"> layoff their employees.  To help them survive and help their employees keep their jobs, </w:t>
      </w:r>
      <w:r>
        <w:rPr>
          <w:bCs/>
        </w:rPr>
        <w:t>Congress provided a</w:t>
      </w:r>
      <w:r w:rsidRPr="00B85768">
        <w:rPr>
          <w:bCs/>
        </w:rPr>
        <w:t xml:space="preserve"> loan opportunity through the so-called Paycheck Protection Program (PPP) (Act § 1102 amending the Small Business Act § 7(a)).  As the name of the Act suggests, the purpose of the law is to ensure that people’s paychecks are protected.  This government loan</w:t>
      </w:r>
      <w:r>
        <w:rPr>
          <w:bCs/>
        </w:rPr>
        <w:t xml:space="preserve">—up to $10 million per business—was </w:t>
      </w:r>
      <w:r w:rsidRPr="00B85768">
        <w:rPr>
          <w:bCs/>
        </w:rPr>
        <w:t>intended to help companies cover eight weeks of their payroll costs.</w:t>
      </w:r>
      <w:r w:rsidRPr="00B85768">
        <w:t xml:space="preserve"> </w:t>
      </w:r>
    </w:p>
    <w:p w14:paraId="25DE37E7" w14:textId="77777777" w:rsidR="00C67E35" w:rsidRDefault="00C67E35" w:rsidP="00C67E35">
      <w:pPr>
        <w:rPr>
          <w:bCs/>
        </w:rPr>
      </w:pPr>
      <w:r>
        <w:rPr>
          <w:bCs/>
        </w:rPr>
        <w:tab/>
      </w:r>
      <w:r w:rsidRPr="00B85768">
        <w:rPr>
          <w:bCs/>
        </w:rPr>
        <w:t xml:space="preserve">The PPP loans </w:t>
      </w:r>
      <w:r>
        <w:rPr>
          <w:bCs/>
        </w:rPr>
        <w:t>were</w:t>
      </w:r>
      <w:r w:rsidRPr="00B85768">
        <w:rPr>
          <w:bCs/>
        </w:rPr>
        <w:t xml:space="preserve"> </w:t>
      </w:r>
      <w:r>
        <w:rPr>
          <w:bCs/>
        </w:rPr>
        <w:t>run through the Small Business Administration (SBA).  The SBA</w:t>
      </w:r>
      <w:r w:rsidRPr="00B85768">
        <w:rPr>
          <w:bCs/>
        </w:rPr>
        <w:t xml:space="preserve"> approved </w:t>
      </w:r>
      <w:r>
        <w:rPr>
          <w:bCs/>
        </w:rPr>
        <w:t>the loans according to certain criteria.  However, the actual loan was</w:t>
      </w:r>
      <w:r w:rsidRPr="00B85768">
        <w:rPr>
          <w:bCs/>
        </w:rPr>
        <w:t xml:space="preserve"> made </w:t>
      </w:r>
      <w:r>
        <w:rPr>
          <w:bCs/>
        </w:rPr>
        <w:t>by</w:t>
      </w:r>
      <w:r w:rsidRPr="00B85768">
        <w:rPr>
          <w:bCs/>
        </w:rPr>
        <w:t xml:space="preserve"> authorized lenders</w:t>
      </w:r>
      <w:r>
        <w:rPr>
          <w:bCs/>
        </w:rPr>
        <w:t xml:space="preserve"> (e.g., </w:t>
      </w:r>
      <w:r w:rsidRPr="00B85768">
        <w:rPr>
          <w:bCs/>
        </w:rPr>
        <w:t xml:space="preserve">federally insured depository institutions (banks), </w:t>
      </w:r>
      <w:r>
        <w:rPr>
          <w:bCs/>
        </w:rPr>
        <w:t>or</w:t>
      </w:r>
      <w:r w:rsidRPr="00B85768">
        <w:rPr>
          <w:bCs/>
        </w:rPr>
        <w:t xml:space="preserve"> lender</w:t>
      </w:r>
      <w:r>
        <w:rPr>
          <w:bCs/>
        </w:rPr>
        <w:t>s</w:t>
      </w:r>
      <w:r w:rsidRPr="00B85768">
        <w:rPr>
          <w:bCs/>
        </w:rPr>
        <w:t xml:space="preserve"> approved by the SBA</w:t>
      </w:r>
      <w:r>
        <w:rPr>
          <w:bCs/>
        </w:rPr>
        <w:t>)</w:t>
      </w:r>
      <w:r w:rsidRPr="00B85768">
        <w:rPr>
          <w:bCs/>
        </w:rPr>
        <w:t xml:space="preserve">.  </w:t>
      </w:r>
    </w:p>
    <w:p w14:paraId="4556FD85" w14:textId="3D7B5E8B" w:rsidR="00355172" w:rsidRDefault="00355172" w:rsidP="00C67E35">
      <w:pPr>
        <w:rPr>
          <w:bCs/>
        </w:rPr>
      </w:pPr>
    </w:p>
    <w:p w14:paraId="40E6D3BC" w14:textId="7255B9F2" w:rsidR="007A748A" w:rsidRDefault="007A748A" w:rsidP="00C67E35">
      <w:pPr>
        <w:rPr>
          <w:bCs/>
        </w:rPr>
      </w:pPr>
    </w:p>
    <w:p w14:paraId="5DCB7345" w14:textId="61120FBB" w:rsidR="007A748A" w:rsidRDefault="007A748A" w:rsidP="00C67E35">
      <w:pPr>
        <w:rPr>
          <w:bCs/>
        </w:rPr>
      </w:pPr>
    </w:p>
    <w:p w14:paraId="0CF267D5" w14:textId="4A860343" w:rsidR="007A748A" w:rsidRDefault="007A748A" w:rsidP="00C67E35">
      <w:pPr>
        <w:rPr>
          <w:bCs/>
        </w:rPr>
      </w:pPr>
    </w:p>
    <w:p w14:paraId="1237F39D" w14:textId="07899273" w:rsidR="007A748A" w:rsidRDefault="007A748A" w:rsidP="00C67E35">
      <w:pPr>
        <w:rPr>
          <w:bCs/>
        </w:rPr>
      </w:pPr>
    </w:p>
    <w:p w14:paraId="43C3F309" w14:textId="77777777" w:rsidR="007A748A" w:rsidRDefault="007A748A" w:rsidP="00C67E35">
      <w:pPr>
        <w:rPr>
          <w:bCs/>
        </w:rPr>
      </w:pPr>
    </w:p>
    <w:p w14:paraId="5913595B" w14:textId="4F4F6F05" w:rsidR="00C67E35" w:rsidRDefault="00355172" w:rsidP="00C67E35">
      <w:pPr>
        <w:rPr>
          <w:sz w:val="16"/>
          <w:szCs w:val="14"/>
        </w:rPr>
      </w:pPr>
      <w:r>
        <w:rPr>
          <w:b/>
        </w:rPr>
        <w:lastRenderedPageBreak/>
        <w:t>PPP Loan Application</w:t>
      </w:r>
      <w:r w:rsidR="007A748A">
        <w:rPr>
          <w:b/>
        </w:rPr>
        <w:t xml:space="preserve"> Form</w:t>
      </w:r>
      <w:r>
        <w:rPr>
          <w:b/>
        </w:rPr>
        <w:t xml:space="preserve">.  </w:t>
      </w:r>
      <w:r w:rsidR="00C67E35">
        <w:rPr>
          <w:bCs/>
        </w:rPr>
        <w:t>B</w:t>
      </w:r>
      <w:r w:rsidR="00C67E35" w:rsidRPr="00B85768">
        <w:t xml:space="preserve">usinesses </w:t>
      </w:r>
      <w:r w:rsidR="00C67E35">
        <w:t>started</w:t>
      </w:r>
      <w:r w:rsidR="00C67E35" w:rsidRPr="00B85768">
        <w:t xml:space="preserve"> the </w:t>
      </w:r>
      <w:r w:rsidR="00C67E35">
        <w:t xml:space="preserve">application </w:t>
      </w:r>
      <w:r w:rsidR="00C67E35" w:rsidRPr="00B85768">
        <w:t xml:space="preserve">process by contacting </w:t>
      </w:r>
      <w:r w:rsidR="00C67E35">
        <w:t>a</w:t>
      </w:r>
      <w:r w:rsidR="00C67E35" w:rsidRPr="00B85768">
        <w:t xml:space="preserve"> lender and </w:t>
      </w:r>
      <w:proofErr w:type="gramStart"/>
      <w:r w:rsidR="00C67E35">
        <w:t>submitting</w:t>
      </w:r>
      <w:r w:rsidR="00C67E35" w:rsidRPr="00B85768">
        <w:t xml:space="preserve"> an application</w:t>
      </w:r>
      <w:proofErr w:type="gramEnd"/>
      <w:r w:rsidR="00C67E35" w:rsidRPr="00B85768">
        <w:t xml:space="preserve"> form</w:t>
      </w:r>
      <w:r w:rsidR="00C67E35" w:rsidRPr="007057E0">
        <w:t xml:space="preserve"> by June 30</w:t>
      </w:r>
      <w:r w:rsidR="00C67E35">
        <w:t>, 2020</w:t>
      </w:r>
      <w:r w:rsidR="00C67E35" w:rsidRPr="007057E0">
        <w:t xml:space="preserve"> (</w:t>
      </w:r>
      <w:r w:rsidR="00C67E35">
        <w:t xml:space="preserve">a deadline </w:t>
      </w:r>
      <w:r w:rsidR="00C67E35" w:rsidRPr="007057E0">
        <w:t xml:space="preserve">extended to August 8, 2020).  </w:t>
      </w:r>
      <w:r w:rsidR="00C67E35">
        <w:t>T</w:t>
      </w:r>
      <w:r w:rsidR="00C67E35" w:rsidRPr="007057E0">
        <w:t>he application</w:t>
      </w:r>
      <w:r w:rsidR="00C67E35">
        <w:t xml:space="preserve"> form</w:t>
      </w:r>
      <w:r w:rsidR="00C67E35" w:rsidRPr="007057E0">
        <w:t xml:space="preserve"> (as revised on June 24, 2020)</w:t>
      </w:r>
      <w:r w:rsidR="00C67E35">
        <w:t xml:space="preserve"> is shown below and</w:t>
      </w:r>
      <w:r w:rsidR="00C67E35" w:rsidRPr="007057E0">
        <w:t xml:space="preserve"> can be found at </w:t>
      </w:r>
      <w:hyperlink r:id="rId9" w:history="1">
        <w:r w:rsidR="00C67E35" w:rsidRPr="00A92176">
          <w:rPr>
            <w:rStyle w:val="Hyperlink"/>
            <w:sz w:val="18"/>
          </w:rPr>
          <w:t>https://www.sba.gov/sites/default/files/2020-07/PPP-Borrower-Application-Form-508.pdf</w:t>
        </w:r>
      </w:hyperlink>
      <w:r w:rsidR="00C67E35" w:rsidRPr="00B84447">
        <w:rPr>
          <w:sz w:val="8"/>
          <w:szCs w:val="14"/>
        </w:rPr>
        <w:t>.</w:t>
      </w:r>
      <w:r w:rsidR="00C67E35" w:rsidRPr="00B84447">
        <w:rPr>
          <w:sz w:val="16"/>
          <w:szCs w:val="14"/>
        </w:rPr>
        <w:t xml:space="preserve"> </w:t>
      </w:r>
    </w:p>
    <w:p w14:paraId="3562E8FC" w14:textId="77777777" w:rsidR="007A748A" w:rsidRDefault="007A748A" w:rsidP="00C67E35">
      <w:pPr>
        <w:rPr>
          <w:sz w:val="16"/>
          <w:szCs w:val="14"/>
        </w:rPr>
      </w:pPr>
    </w:p>
    <w:p w14:paraId="5657D9FD" w14:textId="77777777" w:rsidR="00C67E35" w:rsidRPr="00B84447" w:rsidRDefault="00C67E35" w:rsidP="00C67E35">
      <w:pPr>
        <w:rPr>
          <w:sz w:val="16"/>
          <w:szCs w:val="14"/>
        </w:rPr>
      </w:pPr>
    </w:p>
    <w:p w14:paraId="0D9EB926" w14:textId="0181AC9E" w:rsidR="00407BAE" w:rsidRPr="00371EE1" w:rsidRDefault="00002E98" w:rsidP="00892041">
      <w:pPr>
        <w:overflowPunct/>
        <w:autoSpaceDE/>
        <w:autoSpaceDN/>
        <w:adjustRightInd/>
        <w:jc w:val="center"/>
        <w:textAlignment w:val="auto"/>
        <w:rPr>
          <w:highlight w:val="yellow"/>
        </w:rPr>
      </w:pPr>
      <w:r w:rsidRPr="00371EE1">
        <w:rPr>
          <w:noProof/>
          <w:highlight w:val="yellow"/>
          <w:bdr w:val="single" w:sz="8" w:space="0" w:color="auto"/>
        </w:rPr>
        <w:drawing>
          <wp:inline distT="0" distB="0" distL="0" distR="0" wp14:anchorId="5FFDCA0A" wp14:editId="284159FD">
            <wp:extent cx="5166494" cy="677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5957" cy="6784043"/>
                    </a:xfrm>
                    <a:prstGeom prst="rect">
                      <a:avLst/>
                    </a:prstGeom>
                  </pic:spPr>
                </pic:pic>
              </a:graphicData>
            </a:graphic>
          </wp:inline>
        </w:drawing>
      </w:r>
    </w:p>
    <w:p w14:paraId="0AE29ACE" w14:textId="77777777" w:rsidR="00002E98" w:rsidRPr="00371EE1" w:rsidRDefault="00002E98" w:rsidP="00446B7F">
      <w:pPr>
        <w:overflowPunct/>
        <w:textAlignment w:val="auto"/>
        <w:rPr>
          <w:bCs/>
          <w:sz w:val="24"/>
          <w:highlight w:val="yellow"/>
        </w:rPr>
      </w:pPr>
    </w:p>
    <w:p w14:paraId="5AC51EA6" w14:textId="77777777" w:rsidR="00C67E35" w:rsidRPr="00B85768" w:rsidRDefault="00C67E35" w:rsidP="00C67E35">
      <w:pPr>
        <w:rPr>
          <w:bCs/>
        </w:rPr>
      </w:pPr>
      <w:r>
        <w:rPr>
          <w:bCs/>
          <w:sz w:val="24"/>
          <w:highlight w:val="yellow"/>
        </w:rPr>
        <w:br w:type="column"/>
      </w:r>
      <w:r w:rsidRPr="00B85768">
        <w:rPr>
          <w:bCs/>
        </w:rPr>
        <w:lastRenderedPageBreak/>
        <w:t xml:space="preserve">The primary advantage of PPP loans is that amounts borrowed could turn out to be a loan in name only.  As </w:t>
      </w:r>
      <w:r>
        <w:rPr>
          <w:bCs/>
        </w:rPr>
        <w:t>explained</w:t>
      </w:r>
      <w:r w:rsidRPr="00B85768">
        <w:rPr>
          <w:bCs/>
        </w:rPr>
        <w:t xml:space="preserve"> below, if </w:t>
      </w:r>
      <w:r>
        <w:rPr>
          <w:bCs/>
        </w:rPr>
        <w:t>an</w:t>
      </w:r>
      <w:r w:rsidRPr="00B85768">
        <w:rPr>
          <w:bCs/>
        </w:rPr>
        <w:t xml:space="preserve"> employer </w:t>
      </w:r>
      <w:r>
        <w:rPr>
          <w:bCs/>
        </w:rPr>
        <w:t>meets certain standards, e.g., it keeps</w:t>
      </w:r>
      <w:r w:rsidRPr="00B85768">
        <w:rPr>
          <w:bCs/>
        </w:rPr>
        <w:t xml:space="preserve"> its employees on the payroll (i.e., it does not fire or layoff employees) and uses the funds for qualified expenses (e.g., salaries, rent, mortgage interest, or utilities), the employer is not required to repay the loan</w:t>
      </w:r>
      <w:r>
        <w:rPr>
          <w:bCs/>
        </w:rPr>
        <w:t>. M</w:t>
      </w:r>
      <w:r w:rsidRPr="00B85768">
        <w:rPr>
          <w:bCs/>
        </w:rPr>
        <w:t xml:space="preserve">oreover, </w:t>
      </w:r>
      <w:r>
        <w:rPr>
          <w:bCs/>
        </w:rPr>
        <w:t xml:space="preserve">unlike the normal rule, </w:t>
      </w:r>
      <w:r w:rsidRPr="00B85768">
        <w:rPr>
          <w:bCs/>
        </w:rPr>
        <w:t>the forgiveness of debt is nontaxable</w:t>
      </w:r>
      <w:r>
        <w:rPr>
          <w:bCs/>
        </w:rPr>
        <w:t xml:space="preserve"> and, as clarified by </w:t>
      </w:r>
      <w:r w:rsidRPr="00C67E35">
        <w:rPr>
          <w:bCs/>
        </w:rPr>
        <w:t>ARPA</w:t>
      </w:r>
      <w:r>
        <w:rPr>
          <w:bCs/>
        </w:rPr>
        <w:t>, the expenses paid with such funds are still deductible</w:t>
      </w:r>
      <w:r w:rsidRPr="00B85768">
        <w:rPr>
          <w:bCs/>
        </w:rPr>
        <w:t>.</w:t>
      </w:r>
    </w:p>
    <w:p w14:paraId="5735ABE8" w14:textId="77777777" w:rsidR="00C67E35" w:rsidRPr="00B85768" w:rsidRDefault="00C67E35" w:rsidP="00C67E35">
      <w:pPr>
        <w:rPr>
          <w:bCs/>
        </w:rPr>
      </w:pPr>
    </w:p>
    <w:p w14:paraId="4110C8CF" w14:textId="77777777" w:rsidR="00C67E35" w:rsidRPr="00B85768" w:rsidRDefault="00C67E35" w:rsidP="00C67E35">
      <w:pPr>
        <w:rPr>
          <w:bCs/>
        </w:rPr>
      </w:pPr>
      <w:r w:rsidRPr="00B85768">
        <w:rPr>
          <w:bCs/>
        </w:rPr>
        <w:t>The normal treatment of debt cancellation is found in §</w:t>
      </w:r>
      <w:r>
        <w:rPr>
          <w:bCs/>
        </w:rPr>
        <w:t xml:space="preserve"> </w:t>
      </w:r>
      <w:r w:rsidRPr="00B85768">
        <w:rPr>
          <w:bCs/>
        </w:rPr>
        <w:t>61(a)(11)</w:t>
      </w:r>
      <w:r>
        <w:rPr>
          <w:bCs/>
        </w:rPr>
        <w:t>.  It</w:t>
      </w:r>
      <w:r w:rsidRPr="00B85768">
        <w:rPr>
          <w:bCs/>
        </w:rPr>
        <w:t xml:space="preserve"> provides that the reduction or cancellation of indebtedness results in cancellation of debt (COD) income to the debtor. </w:t>
      </w:r>
      <w:r>
        <w:rPr>
          <w:bCs/>
        </w:rPr>
        <w:t xml:space="preserve"> Such income normally is taxable.  </w:t>
      </w:r>
      <w:r w:rsidRPr="00B85768">
        <w:rPr>
          <w:bCs/>
        </w:rPr>
        <w:t xml:space="preserve">An "identifiable event" determines when a debt has been reduced or canceled. For example, an identifiable event includes a creditor accepting less than full payment as a complete discharge of a debt or events or simply circumstances result that remove the likelihood that a debt will be paid.  The PPP </w:t>
      </w:r>
      <w:r>
        <w:rPr>
          <w:bCs/>
        </w:rPr>
        <w:t xml:space="preserve">program </w:t>
      </w:r>
      <w:r w:rsidRPr="00B85768">
        <w:rPr>
          <w:bCs/>
        </w:rPr>
        <w:t xml:space="preserve">creates a significant exception to this basic rule, generally providing that the debt forgiveness is not considered taxable income.  </w:t>
      </w:r>
      <w:r>
        <w:rPr>
          <w:bCs/>
        </w:rPr>
        <w:t>T</w:t>
      </w:r>
      <w:r w:rsidRPr="00B85768">
        <w:rPr>
          <w:bCs/>
        </w:rPr>
        <w:t xml:space="preserve">he PPP </w:t>
      </w:r>
      <w:r>
        <w:rPr>
          <w:bCs/>
        </w:rPr>
        <w:t xml:space="preserve">program </w:t>
      </w:r>
      <w:r w:rsidRPr="00B85768">
        <w:rPr>
          <w:bCs/>
        </w:rPr>
        <w:t>provides special rules for determining the amount of eligible forgiveness.</w:t>
      </w:r>
    </w:p>
    <w:p w14:paraId="3BF48BC2" w14:textId="77777777" w:rsidR="00C67E35" w:rsidRPr="00B85768" w:rsidRDefault="00C67E35" w:rsidP="00C67E35">
      <w:pPr>
        <w:rPr>
          <w:bCs/>
        </w:rPr>
      </w:pPr>
    </w:p>
    <w:p w14:paraId="2FA27429" w14:textId="77777777" w:rsidR="00C67E35" w:rsidRPr="00B85768" w:rsidRDefault="00C67E35" w:rsidP="00C67E35">
      <w:pPr>
        <w:rPr>
          <w:bCs/>
        </w:rPr>
      </w:pPr>
      <w:r w:rsidRPr="00B85768">
        <w:rPr>
          <w:bCs/>
        </w:rPr>
        <w:t xml:space="preserve">At first glance, it may appear that the PPP is too good to be true.  However, this cloud does indeed have a silver lining.  Tony Nitti, the famous tax-guru who writes for Forbes, summed up the PPP perfectly.  According to Nitti,  “free money is hard to pass up, and so last week, businesses were clamoring for Friday to arrive so they could grab their piece of the pie.”  (See Tony Nitti, “Paycheck Protection Program Loans: Three Things </w:t>
      </w:r>
      <w:proofErr w:type="gramStart"/>
      <w:r w:rsidRPr="00B85768">
        <w:rPr>
          <w:bCs/>
        </w:rPr>
        <w:t>The</w:t>
      </w:r>
      <w:proofErr w:type="gramEnd"/>
      <w:r w:rsidRPr="00B85768">
        <w:rPr>
          <w:bCs/>
        </w:rPr>
        <w:t xml:space="preserve"> SBA And Banks Need To Agree On Now.” </w:t>
      </w:r>
      <w:r w:rsidRPr="00B85768">
        <w:rPr>
          <w:bCs/>
          <w:i/>
        </w:rPr>
        <w:t>Forbes</w:t>
      </w:r>
      <w:r w:rsidRPr="00B85768">
        <w:rPr>
          <w:bCs/>
        </w:rPr>
        <w:t xml:space="preserve">, April 5, 2020) </w:t>
      </w:r>
      <w:hyperlink r:id="rId11" w:anchor="573860c21a32" w:history="1">
        <w:r w:rsidRPr="00B85768">
          <w:rPr>
            <w:rStyle w:val="Hyperlink"/>
            <w:sz w:val="20"/>
          </w:rPr>
          <w:t>https://www.forbes.com/sites/anthonynitti/2020/04/05/paycheck-protection-program-loans-three-things-the-sba-and-banks-need-to-agree-on-now/#573860c21a32</w:t>
        </w:r>
      </w:hyperlink>
      <w:r w:rsidRPr="00B85768">
        <w:rPr>
          <w:bCs/>
        </w:rPr>
        <w:t xml:space="preserve">.  </w:t>
      </w:r>
    </w:p>
    <w:p w14:paraId="064F04D7" w14:textId="77777777" w:rsidR="00C67E35" w:rsidRPr="00B85768" w:rsidRDefault="00C67E35" w:rsidP="00C67E35">
      <w:pPr>
        <w:rPr>
          <w:bCs/>
        </w:rPr>
      </w:pPr>
    </w:p>
    <w:p w14:paraId="20796B92" w14:textId="062E1413" w:rsidR="00C67E35" w:rsidRPr="00B85768" w:rsidRDefault="00C67E35" w:rsidP="00C67E35">
      <w:pPr>
        <w:rPr>
          <w:bCs/>
          <w:sz w:val="20"/>
        </w:rPr>
      </w:pPr>
      <w:r w:rsidRPr="00B85768">
        <w:rPr>
          <w:bCs/>
        </w:rPr>
        <w:t xml:space="preserve">Nitti was </w:t>
      </w:r>
      <w:r>
        <w:rPr>
          <w:bCs/>
        </w:rPr>
        <w:t xml:space="preserve">right.  </w:t>
      </w:r>
      <w:r w:rsidRPr="00B85768">
        <w:rPr>
          <w:bCs/>
        </w:rPr>
        <w:t xml:space="preserve">The rush for the loans was so great that the money—about $349 billion—quickly ran out.  According to Treasury Secretary Steven Mnuchin and SBA Administrator Jovita Carranza there were “more than 14 years’ worth of loans in less than 14 days,” before the funds ran dry.  But, on April 24, 2020, Congress </w:t>
      </w:r>
      <w:r w:rsidR="00AC6F37">
        <w:rPr>
          <w:bCs/>
        </w:rPr>
        <w:t>approved</w:t>
      </w:r>
      <w:r w:rsidRPr="00B85768">
        <w:rPr>
          <w:bCs/>
        </w:rPr>
        <w:t xml:space="preserve"> another round of funding and enacted the</w:t>
      </w:r>
      <w:r w:rsidRPr="00B85768">
        <w:t xml:space="preserve"> </w:t>
      </w:r>
      <w:r w:rsidRPr="00B85768">
        <w:rPr>
          <w:bCs/>
        </w:rPr>
        <w:t xml:space="preserve">Paycheck Protection Program and Health Care Enhancement Act that added $321 billion.  (See Anne </w:t>
      </w:r>
      <w:proofErr w:type="spellStart"/>
      <w:r w:rsidRPr="00B85768">
        <w:rPr>
          <w:bCs/>
        </w:rPr>
        <w:t>Sraders</w:t>
      </w:r>
      <w:proofErr w:type="spellEnd"/>
      <w:r w:rsidRPr="00B85768">
        <w:rPr>
          <w:bCs/>
        </w:rPr>
        <w:t xml:space="preserve">, “14 years in 14 days: Inside the chaotic rollout of the SBA’s PPP loan plan to save America’s small businesses.” </w:t>
      </w:r>
      <w:r w:rsidRPr="00B85768">
        <w:rPr>
          <w:bCs/>
          <w:i/>
        </w:rPr>
        <w:t>Fortune</w:t>
      </w:r>
      <w:r w:rsidRPr="00B85768">
        <w:rPr>
          <w:bCs/>
        </w:rPr>
        <w:t xml:space="preserve">, April 29, 2020. See </w:t>
      </w:r>
      <w:hyperlink r:id="rId12" w:history="1">
        <w:r w:rsidRPr="00B85768">
          <w:rPr>
            <w:rStyle w:val="Hyperlink"/>
            <w:bCs/>
            <w:sz w:val="20"/>
          </w:rPr>
          <w:t>https://fortune.com/2020/04/29/sba-ppp-paycheck-protection-program-loans-small-business-administration-inside-chaos/</w:t>
        </w:r>
      </w:hyperlink>
      <w:r w:rsidRPr="00B85768">
        <w:rPr>
          <w:bCs/>
          <w:sz w:val="20"/>
        </w:rPr>
        <w:t xml:space="preserve"> </w:t>
      </w:r>
    </w:p>
    <w:p w14:paraId="6D20941B" w14:textId="77777777" w:rsidR="00C67E35" w:rsidRPr="00B85768" w:rsidRDefault="00C67E35" w:rsidP="00C67E35">
      <w:pPr>
        <w:rPr>
          <w:bCs/>
        </w:rPr>
      </w:pPr>
    </w:p>
    <w:p w14:paraId="15DEC85F" w14:textId="77777777" w:rsidR="00C67E35" w:rsidRPr="00B85768" w:rsidRDefault="00C67E35" w:rsidP="00C67E35">
      <w:pPr>
        <w:rPr>
          <w:bCs/>
        </w:rPr>
      </w:pPr>
      <w:r w:rsidRPr="00B85768">
        <w:rPr>
          <w:bCs/>
        </w:rPr>
        <w:t xml:space="preserve">There is a long list of requirements that police the road to tax-free forgiveness under the PPP. </w:t>
      </w:r>
      <w:r>
        <w:rPr>
          <w:bCs/>
        </w:rPr>
        <w:t xml:space="preserve"> </w:t>
      </w:r>
      <w:r w:rsidRPr="00B85768">
        <w:rPr>
          <w:bCs/>
        </w:rPr>
        <w:t>To get a sense of these requirements, see the</w:t>
      </w:r>
      <w:r>
        <w:rPr>
          <w:bCs/>
        </w:rPr>
        <w:t xml:space="preserve"> discussion below and</w:t>
      </w:r>
      <w:r w:rsidRPr="00B85768">
        <w:rPr>
          <w:bCs/>
        </w:rPr>
        <w:t xml:space="preserve"> </w:t>
      </w:r>
      <w:r>
        <w:rPr>
          <w:bCs/>
        </w:rPr>
        <w:t xml:space="preserve">loan </w:t>
      </w:r>
      <w:r w:rsidRPr="00B85768">
        <w:rPr>
          <w:bCs/>
        </w:rPr>
        <w:t xml:space="preserve">application form in full at </w:t>
      </w:r>
      <w:hyperlink r:id="rId13" w:history="1">
        <w:r w:rsidRPr="00B85768">
          <w:rPr>
            <w:rStyle w:val="Hyperlink"/>
            <w:sz w:val="20"/>
          </w:rPr>
          <w:t>https://home.treasury.gov/system/files/136/Paycheck-Protection-Program-Application-3-30-2020-v3.pdf</w:t>
        </w:r>
      </w:hyperlink>
      <w:r w:rsidRPr="00B85768">
        <w:t>.</w:t>
      </w:r>
    </w:p>
    <w:p w14:paraId="1EB9A208" w14:textId="77777777" w:rsidR="00C67E35" w:rsidRPr="00B85768" w:rsidRDefault="00C67E35" w:rsidP="00C67E35">
      <w:pPr>
        <w:rPr>
          <w:bCs/>
        </w:rPr>
      </w:pPr>
    </w:p>
    <w:p w14:paraId="5C56C8F4" w14:textId="77777777" w:rsidR="00C67E35" w:rsidRDefault="00C67E35" w:rsidP="00C67E35">
      <w:pPr>
        <w:rPr>
          <w:bCs/>
        </w:rPr>
      </w:pPr>
      <w:r w:rsidRPr="00846270">
        <w:rPr>
          <w:b/>
          <w:bCs/>
        </w:rPr>
        <w:t>PPP Loans: Eligible Recipients</w:t>
      </w:r>
      <w:r>
        <w:rPr>
          <w:b/>
          <w:bCs/>
        </w:rPr>
        <w:t xml:space="preserve">:  </w:t>
      </w:r>
      <w:r w:rsidRPr="00B85768">
        <w:rPr>
          <w:b/>
          <w:bCs/>
        </w:rPr>
        <w:t xml:space="preserve">Who Can Apply for a PPP Loan?  </w:t>
      </w:r>
      <w:r>
        <w:rPr>
          <w:bCs/>
        </w:rPr>
        <w:t>The Paycheck Protection Plan (PPP)</w:t>
      </w:r>
      <w:r w:rsidRPr="00B85768">
        <w:rPr>
          <w:bCs/>
        </w:rPr>
        <w:t xml:space="preserve"> loans are available to eligible recipients, including businesses</w:t>
      </w:r>
      <w:r>
        <w:rPr>
          <w:bCs/>
        </w:rPr>
        <w:t xml:space="preserve"> (e.g., corporations, partnerships, self-employed persons)</w:t>
      </w:r>
      <w:r w:rsidRPr="00B85768">
        <w:rPr>
          <w:bCs/>
        </w:rPr>
        <w:t xml:space="preserve">, nonprofits, veterans’ organizations, and Tribal businesses.  </w:t>
      </w:r>
      <w:r>
        <w:rPr>
          <w:bCs/>
        </w:rPr>
        <w:t>Only loan applications from small businesses are considered , i.e., the</w:t>
      </w:r>
      <w:r w:rsidRPr="00B85768">
        <w:rPr>
          <w:bCs/>
        </w:rPr>
        <w:t xml:space="preserve"> applicant has no more than 500 employees </w:t>
      </w:r>
      <w:r>
        <w:rPr>
          <w:bCs/>
        </w:rPr>
        <w:t xml:space="preserve">at any time </w:t>
      </w:r>
      <w:r w:rsidRPr="00B85768">
        <w:rPr>
          <w:bCs/>
        </w:rPr>
        <w:t>during the 25 weeks starting on the date the loan was originated (</w:t>
      </w:r>
      <w:r>
        <w:rPr>
          <w:bCs/>
        </w:rPr>
        <w:t>when the</w:t>
      </w:r>
      <w:r w:rsidRPr="00B85768">
        <w:rPr>
          <w:bCs/>
        </w:rPr>
        <w:t xml:space="preserve"> taxpayer and the bank sign the loan agreement).  </w:t>
      </w:r>
      <w:r>
        <w:rPr>
          <w:bCs/>
        </w:rPr>
        <w:t>T</w:t>
      </w:r>
      <w:r w:rsidRPr="00226204">
        <w:rPr>
          <w:bCs/>
        </w:rPr>
        <w:t xml:space="preserve">he organization can apply only if it meets </w:t>
      </w:r>
      <w:r w:rsidRPr="00B85768">
        <w:rPr>
          <w:bCs/>
        </w:rPr>
        <w:t>the following requirements (Act § 1102(a)(2)(A)(iv) and ((v)):</w:t>
      </w:r>
    </w:p>
    <w:p w14:paraId="08680EE3" w14:textId="77777777" w:rsidR="00C67E35" w:rsidRPr="00B85768" w:rsidRDefault="00C67E35" w:rsidP="00C67E35">
      <w:pPr>
        <w:ind w:left="540" w:hanging="360"/>
        <w:rPr>
          <w:bCs/>
        </w:rPr>
      </w:pPr>
      <w:r w:rsidRPr="00B85768">
        <w:rPr>
          <w:bCs/>
          <w:szCs w:val="18"/>
        </w:rPr>
        <w:t>(</w:t>
      </w:r>
      <w:r w:rsidRPr="00B85768">
        <w:rPr>
          <w:bCs/>
        </w:rPr>
        <w:t>1)</w:t>
      </w:r>
      <w:r w:rsidRPr="00B85768">
        <w:rPr>
          <w:bCs/>
        </w:rPr>
        <w:tab/>
        <w:t xml:space="preserve">The business was operational as of February 15, </w:t>
      </w:r>
      <w:proofErr w:type="gramStart"/>
      <w:r w:rsidRPr="00B85768">
        <w:rPr>
          <w:bCs/>
        </w:rPr>
        <w:t>2020;</w:t>
      </w:r>
      <w:proofErr w:type="gramEnd"/>
      <w:r w:rsidRPr="00B85768">
        <w:rPr>
          <w:bCs/>
        </w:rPr>
        <w:t xml:space="preserve"> </w:t>
      </w:r>
    </w:p>
    <w:p w14:paraId="1B0FD091" w14:textId="77777777" w:rsidR="00C67E35" w:rsidRPr="00B85768" w:rsidRDefault="00C67E35" w:rsidP="00C67E35">
      <w:pPr>
        <w:ind w:left="540" w:hanging="360"/>
        <w:rPr>
          <w:bCs/>
        </w:rPr>
      </w:pPr>
      <w:r w:rsidRPr="00B85768">
        <w:rPr>
          <w:bCs/>
        </w:rPr>
        <w:t>(2)</w:t>
      </w:r>
      <w:r w:rsidRPr="00B85768">
        <w:rPr>
          <w:bCs/>
        </w:rPr>
        <w:tab/>
        <w:t>The principal place of business is in the U.S. and</w:t>
      </w:r>
    </w:p>
    <w:p w14:paraId="48C103B2" w14:textId="77777777" w:rsidR="00C67E35" w:rsidRPr="00B85768" w:rsidRDefault="00C67E35" w:rsidP="00C67E35">
      <w:pPr>
        <w:ind w:left="540" w:hanging="360"/>
        <w:rPr>
          <w:bCs/>
        </w:rPr>
      </w:pPr>
      <w:r w:rsidRPr="00B85768">
        <w:rPr>
          <w:bCs/>
        </w:rPr>
        <w:t>(3)</w:t>
      </w:r>
      <w:r w:rsidRPr="00B85768">
        <w:rPr>
          <w:bCs/>
        </w:rPr>
        <w:tab/>
        <w:t>The qualified organization has no more than 500 employees (subject to certain exceptions).</w:t>
      </w:r>
      <w:r w:rsidRPr="00B85768">
        <w:t xml:space="preserve"> </w:t>
      </w:r>
    </w:p>
    <w:p w14:paraId="2FB7A645" w14:textId="77777777" w:rsidR="00C67E35" w:rsidRDefault="00C67E35" w:rsidP="00C67E35"/>
    <w:p w14:paraId="33728068" w14:textId="77777777" w:rsidR="00C67E35" w:rsidRPr="005C29DD" w:rsidRDefault="00C67E35" w:rsidP="00C67E35">
      <w:r w:rsidRPr="000E1EE9">
        <w:t>The 500-employee limit was intended to restrict the loans to small businesses</w:t>
      </w:r>
      <w:r>
        <w:t xml:space="preserve"> but</w:t>
      </w:r>
      <w:r w:rsidRPr="000E1EE9">
        <w:t xml:space="preserve"> </w:t>
      </w:r>
      <w:r>
        <w:t xml:space="preserve">initially it </w:t>
      </w:r>
      <w:r w:rsidRPr="000E1EE9">
        <w:t xml:space="preserve">was applied to each location.  This approach did not necessarily restrict loans to small businesses since a company might have multiple locations, none of which had more than 500 employees (e.g., Ruth’s Chris Steak House has over 100 restaurants in different locations and each location employs no more than 500), </w:t>
      </w:r>
      <w:r w:rsidRPr="005C29DD">
        <w:t>(Act §1102(a)(1)(D)(</w:t>
      </w:r>
      <w:proofErr w:type="spellStart"/>
      <w:r w:rsidRPr="005C29DD">
        <w:t>i</w:t>
      </w:r>
      <w:proofErr w:type="spellEnd"/>
      <w:r w:rsidRPr="005C29DD">
        <w:t>)(I) and §1102(a)(1)(D)(iii)).</w:t>
      </w:r>
    </w:p>
    <w:p w14:paraId="4AB4D95E" w14:textId="77777777" w:rsidR="00C67E35" w:rsidRDefault="00C67E35" w:rsidP="00C67E35">
      <w:pPr>
        <w:ind w:left="90"/>
      </w:pPr>
      <w:r>
        <w:lastRenderedPageBreak/>
        <w:tab/>
        <w:t>The implementation of this rule</w:t>
      </w:r>
      <w:r w:rsidRPr="00B85768">
        <w:t xml:space="preserve"> sparked significant controversy (see Davis and Haddon, “How Ruth’s Chris Got an Extra Helping of Small Business Aid Money.” </w:t>
      </w:r>
      <w:r w:rsidRPr="00B85768">
        <w:rPr>
          <w:i/>
        </w:rPr>
        <w:t>Wall Street Journal</w:t>
      </w:r>
      <w:r w:rsidRPr="00B85768">
        <w:t xml:space="preserve">, April 4, </w:t>
      </w:r>
      <w:proofErr w:type="gramStart"/>
      <w:r w:rsidRPr="00B85768">
        <w:t>2020</w:t>
      </w:r>
      <w:proofErr w:type="gramEnd"/>
      <w:r w:rsidRPr="00B85768">
        <w:t xml:space="preserve"> and </w:t>
      </w:r>
      <w:proofErr w:type="spellStart"/>
      <w:r w:rsidRPr="00B85768">
        <w:t>Pcheco</w:t>
      </w:r>
      <w:proofErr w:type="spellEnd"/>
      <w:r w:rsidRPr="00B85768">
        <w:t xml:space="preserve"> and Francis, “Public Companies Got $500 Million in Small Business Loans.” </w:t>
      </w:r>
      <w:r w:rsidRPr="00B85768">
        <w:rPr>
          <w:i/>
        </w:rPr>
        <w:t>Wall Street Journal</w:t>
      </w:r>
      <w:r w:rsidRPr="00B85768">
        <w:t xml:space="preserve">, April 20, 2020).  </w:t>
      </w:r>
      <w:r>
        <w:t>According to SEC filings, 424</w:t>
      </w:r>
      <w:r w:rsidRPr="00B85768">
        <w:t xml:space="preserve"> publicly trade</w:t>
      </w:r>
      <w:r>
        <w:t>d</w:t>
      </w:r>
      <w:r w:rsidRPr="00B85768">
        <w:t xml:space="preserve"> companies received PPP loans (e.g., Ruth Chris, Shake Shack, Potbelly</w:t>
      </w:r>
      <w:r>
        <w:t xml:space="preserve">; for a complete list see </w:t>
      </w:r>
      <w:hyperlink r:id="rId14" w:history="1">
        <w:r w:rsidRPr="00602180">
          <w:rPr>
            <w:rStyle w:val="Hyperlink"/>
            <w:sz w:val="18"/>
          </w:rPr>
          <w:t>https://factba.se/sba-loans</w:t>
        </w:r>
      </w:hyperlink>
      <w:r w:rsidRPr="00602180">
        <w:rPr>
          <w:sz w:val="18"/>
        </w:rPr>
        <w:t xml:space="preserve"> </w:t>
      </w:r>
      <w:r w:rsidRPr="00B85768">
        <w:t>)</w:t>
      </w:r>
      <w:r>
        <w:t>.</w:t>
      </w:r>
      <w:r w:rsidRPr="00B85768">
        <w:t xml:space="preserve">  </w:t>
      </w:r>
      <w:r>
        <w:t xml:space="preserve">Apparently, </w:t>
      </w:r>
      <w:r w:rsidRPr="00B85768">
        <w:t xml:space="preserve">Treasury Secretary Steven Mnuchin </w:t>
      </w:r>
      <w:r>
        <w:t>objected, explaining</w:t>
      </w:r>
      <w:r w:rsidRPr="00B85768">
        <w:t xml:space="preserve"> that the “intent of this money was not for big, public companies that have access to capital.” </w:t>
      </w:r>
      <w:r>
        <w:t xml:space="preserve"> No doubt succumbing to public pressure, </w:t>
      </w:r>
      <w:r w:rsidRPr="00B85768">
        <w:t xml:space="preserve">Ruth Chris, Shake Shack and other companies  ultimately returned $20 million (see Sarah Hansen, “Ruth’s Chris Steak House Returns $20 Million PPP Loan </w:t>
      </w:r>
      <w:proofErr w:type="gramStart"/>
      <w:r w:rsidRPr="00B85768">
        <w:t>As</w:t>
      </w:r>
      <w:proofErr w:type="gramEnd"/>
      <w:r w:rsidRPr="00B85768">
        <w:t xml:space="preserve"> Treasury Issues New Guidance.”  </w:t>
      </w:r>
      <w:r w:rsidRPr="00B85768">
        <w:rPr>
          <w:i/>
        </w:rPr>
        <w:t xml:space="preserve">Forbes, </w:t>
      </w:r>
      <w:r w:rsidRPr="00B85768">
        <w:t xml:space="preserve">April 23, 2020).  </w:t>
      </w:r>
    </w:p>
    <w:p w14:paraId="1703BED9" w14:textId="77777777" w:rsidR="00C67E35" w:rsidRPr="00602180" w:rsidRDefault="00C67E35" w:rsidP="00C67E35">
      <w:pPr>
        <w:ind w:left="90"/>
      </w:pPr>
      <w:r>
        <w:tab/>
        <w:t>But Mnuchin had more to say  On</w:t>
      </w:r>
      <w:r w:rsidRPr="00602180">
        <w:t xml:space="preserve"> May 5, 2020, </w:t>
      </w:r>
      <w:r>
        <w:t>he</w:t>
      </w:r>
      <w:r w:rsidRPr="00602180">
        <w:t xml:space="preserve"> </w:t>
      </w:r>
      <w:r>
        <w:t xml:space="preserve">announced </w:t>
      </w:r>
      <w:r w:rsidRPr="00602180">
        <w:t xml:space="preserve">that any company that received a PPP loan of more than $2 million would be audited for compliance with the program’s terms before any loan forgiveness would be permitted.  Apparently, five </w:t>
      </w:r>
      <w:r w:rsidRPr="00602180">
        <w:rPr>
          <w:i/>
        </w:rPr>
        <w:t>publicly</w:t>
      </w:r>
      <w:r w:rsidRPr="00602180">
        <w:t xml:space="preserve"> held companies were given a </w:t>
      </w:r>
      <w:r>
        <w:t xml:space="preserve">specific </w:t>
      </w:r>
      <w:r w:rsidRPr="00602180">
        <w:t xml:space="preserve">deadline to return their money, May 14, to give the money back with no questions asked.  Otherwise, </w:t>
      </w:r>
      <w:r>
        <w:t>Mnuchin wanted them to</w:t>
      </w:r>
      <w:r w:rsidRPr="00602180">
        <w:t xml:space="preserve"> explain why they should be allowed to keep the money.</w:t>
      </w:r>
      <w:r>
        <w:t xml:space="preserve">  </w:t>
      </w:r>
      <w:r w:rsidRPr="00B85768">
        <w:t xml:space="preserve">After the uproar, the SBA issued new guidance making it less likely that publicly traded companies could access the second round of funding created by the Enhancement Act  (see </w:t>
      </w:r>
      <w:hyperlink r:id="rId15" w:history="1">
        <w:r w:rsidRPr="00B85768">
          <w:rPr>
            <w:rStyle w:val="Hyperlink"/>
            <w:sz w:val="20"/>
          </w:rPr>
          <w:t>https://home.treasury.gov/system/files/136/Paycheck-Protection-Program-Frequently-Asked-Questions.pdf</w:t>
        </w:r>
      </w:hyperlink>
      <w:r>
        <w:rPr>
          <w:sz w:val="20"/>
        </w:rPr>
        <w:t>.</w:t>
      </w:r>
      <w:r>
        <w:t xml:space="preserve"> </w:t>
      </w:r>
    </w:p>
    <w:p w14:paraId="05BD3A31" w14:textId="77777777" w:rsidR="00C67E35" w:rsidRDefault="00C67E35" w:rsidP="00C67E35"/>
    <w:p w14:paraId="476E157C" w14:textId="77777777" w:rsidR="00C67E35" w:rsidRPr="00B85768" w:rsidRDefault="00C67E35" w:rsidP="00C67E35">
      <w:pPr>
        <w:rPr>
          <w:bCs/>
        </w:rPr>
      </w:pPr>
      <w:r>
        <w:rPr>
          <w:b/>
          <w:bCs/>
        </w:rPr>
        <w:t xml:space="preserve">PPP Loans: Authorized Uses.  </w:t>
      </w:r>
      <w:r>
        <w:rPr>
          <w:bCs/>
        </w:rPr>
        <w:t>As seen in the application form above, the</w:t>
      </w:r>
      <w:r w:rsidRPr="00B85768">
        <w:rPr>
          <w:bCs/>
        </w:rPr>
        <w:t xml:space="preserve"> loans can be used for </w:t>
      </w:r>
    </w:p>
    <w:p w14:paraId="653B0BEA" w14:textId="77777777" w:rsidR="00C67E35" w:rsidRPr="00B85768" w:rsidRDefault="00C67E35" w:rsidP="00C67E35">
      <w:pPr>
        <w:ind w:left="1080" w:hanging="720"/>
      </w:pPr>
      <w:r w:rsidRPr="00B85768">
        <w:sym w:font="Symbol" w:char="F0B7"/>
      </w:r>
      <w:r w:rsidRPr="00B85768">
        <w:t xml:space="preserve"> Payroll costs (see below), including benefits but not federal </w:t>
      </w:r>
      <w:proofErr w:type="gramStart"/>
      <w:r w:rsidRPr="00B85768">
        <w:t>taxes;</w:t>
      </w:r>
      <w:proofErr w:type="gramEnd"/>
      <w:r w:rsidRPr="00B85768">
        <w:t xml:space="preserve"> </w:t>
      </w:r>
    </w:p>
    <w:p w14:paraId="2544EFFE" w14:textId="77777777" w:rsidR="00C67E35" w:rsidRPr="00B85768" w:rsidRDefault="00C67E35" w:rsidP="00C67E35">
      <w:pPr>
        <w:ind w:left="1080" w:hanging="720"/>
      </w:pPr>
      <w:r w:rsidRPr="00B85768">
        <w:sym w:font="Symbol" w:char="F0B7"/>
      </w:r>
      <w:r w:rsidRPr="00B85768">
        <w:t xml:space="preserve"> Interest on mortgage obligations, incurred before February 15, </w:t>
      </w:r>
      <w:proofErr w:type="gramStart"/>
      <w:r w:rsidRPr="00B85768">
        <w:t>2020;</w:t>
      </w:r>
      <w:proofErr w:type="gramEnd"/>
      <w:r w:rsidRPr="00B85768">
        <w:t xml:space="preserve"> </w:t>
      </w:r>
    </w:p>
    <w:p w14:paraId="60B7B0E6" w14:textId="77777777" w:rsidR="00C67E35" w:rsidRPr="00B85768" w:rsidRDefault="00C67E35" w:rsidP="00C67E35">
      <w:pPr>
        <w:ind w:left="1080" w:hanging="720"/>
      </w:pPr>
      <w:r w:rsidRPr="00B85768">
        <w:sym w:font="Symbol" w:char="F0B7"/>
      </w:r>
      <w:r w:rsidRPr="00B85768">
        <w:t xml:space="preserve"> Rent, under lease agreements in force before February 15, 2020; and </w:t>
      </w:r>
    </w:p>
    <w:p w14:paraId="020A484B" w14:textId="77777777" w:rsidR="00C67E35" w:rsidRPr="00B85768" w:rsidRDefault="00C67E35" w:rsidP="00C67E35">
      <w:pPr>
        <w:ind w:left="1080" w:hanging="720"/>
        <w:rPr>
          <w:bCs/>
        </w:rPr>
      </w:pPr>
      <w:r w:rsidRPr="00B85768">
        <w:sym w:font="Symbol" w:char="F0B7"/>
      </w:r>
      <w:r w:rsidRPr="00B85768">
        <w:t xml:space="preserve"> Utilities, for which service began before February 15, 2020.</w:t>
      </w:r>
    </w:p>
    <w:p w14:paraId="5F840577" w14:textId="77777777" w:rsidR="00C67E35" w:rsidRPr="00B85768" w:rsidRDefault="00C67E35" w:rsidP="00C67E35">
      <w:pPr>
        <w:rPr>
          <w:bCs/>
        </w:rPr>
      </w:pPr>
    </w:p>
    <w:p w14:paraId="66D2841E" w14:textId="77777777" w:rsidR="00C67E35" w:rsidRPr="00B85768" w:rsidRDefault="00C67E35" w:rsidP="00C67E35">
      <w:pPr>
        <w:rPr>
          <w:bCs/>
        </w:rPr>
      </w:pPr>
      <w:r w:rsidRPr="00B85768">
        <w:rPr>
          <w:bCs/>
        </w:rPr>
        <w:t>The SBA</w:t>
      </w:r>
      <w:r>
        <w:rPr>
          <w:bCs/>
        </w:rPr>
        <w:t xml:space="preserve"> also</w:t>
      </w:r>
      <w:r w:rsidRPr="00B85768">
        <w:rPr>
          <w:bCs/>
        </w:rPr>
        <w:t xml:space="preserve"> cautioned, that the loan application should not include any costs for health benefits, retirement benefits or state and local taxes on income.  </w:t>
      </w:r>
    </w:p>
    <w:p w14:paraId="3523543B" w14:textId="77777777" w:rsidR="00C67E35" w:rsidRPr="00B85768" w:rsidRDefault="00C67E35" w:rsidP="00C67E35">
      <w:pPr>
        <w:rPr>
          <w:bCs/>
          <w:sz w:val="20"/>
        </w:rPr>
      </w:pPr>
      <w:r>
        <w:rPr>
          <w:bCs/>
        </w:rPr>
        <w:tab/>
      </w:r>
      <w:r w:rsidRPr="00CE0D32">
        <w:rPr>
          <w:bCs/>
        </w:rPr>
        <w:t>It is worth noting</w:t>
      </w:r>
      <w:r>
        <w:rPr>
          <w:bCs/>
        </w:rPr>
        <w:t>,</w:t>
      </w:r>
      <w:r w:rsidRPr="00B85768">
        <w:rPr>
          <w:bCs/>
        </w:rPr>
        <w:t xml:space="preserve"> the Inspector General</w:t>
      </w:r>
      <w:r>
        <w:rPr>
          <w:bCs/>
        </w:rPr>
        <w:t xml:space="preserve"> </w:t>
      </w:r>
      <w:r w:rsidRPr="00B85768">
        <w:rPr>
          <w:bCs/>
        </w:rPr>
        <w:t>reported that the SBA ignored certain Congressional mandates in implementing the loan program.  The report chastise</w:t>
      </w:r>
      <w:r>
        <w:rPr>
          <w:bCs/>
        </w:rPr>
        <w:t>d</w:t>
      </w:r>
      <w:r w:rsidRPr="00B85768">
        <w:rPr>
          <w:bCs/>
        </w:rPr>
        <w:t xml:space="preserve"> the SBA for failing to issue guidance to lenders that should have instructed them to give priority to borrowers in underserved and rural markets, including minority and women owned businesses.  </w:t>
      </w:r>
      <w:r>
        <w:rPr>
          <w:bCs/>
        </w:rPr>
        <w:t>Moreover</w:t>
      </w:r>
      <w:r w:rsidRPr="00B85768">
        <w:rPr>
          <w:bCs/>
        </w:rPr>
        <w:t xml:space="preserve">, the report found that the SBA issued rules that required borrowers to use </w:t>
      </w:r>
      <w:proofErr w:type="gramStart"/>
      <w:r w:rsidRPr="00B85768">
        <w:rPr>
          <w:bCs/>
        </w:rPr>
        <w:t>the majority of</w:t>
      </w:r>
      <w:proofErr w:type="gramEnd"/>
      <w:r w:rsidRPr="00B85768">
        <w:rPr>
          <w:bCs/>
        </w:rPr>
        <w:t xml:space="preserve"> their loan funds</w:t>
      </w:r>
      <w:r>
        <w:rPr>
          <w:bCs/>
        </w:rPr>
        <w:t xml:space="preserve"> (75%)</w:t>
      </w:r>
      <w:r w:rsidRPr="00B85768">
        <w:rPr>
          <w:bCs/>
        </w:rPr>
        <w:t xml:space="preserve"> on payroll costs to receive full forgiveness even though the Act did not mandate a</w:t>
      </w:r>
      <w:r>
        <w:rPr>
          <w:bCs/>
        </w:rPr>
        <w:t>n</w:t>
      </w:r>
      <w:r w:rsidRPr="00B85768">
        <w:rPr>
          <w:bCs/>
        </w:rPr>
        <w:t xml:space="preserve">y specific amount be dedicated for payroll expenses. </w:t>
      </w:r>
      <w:r>
        <w:rPr>
          <w:bCs/>
        </w:rPr>
        <w:t xml:space="preserve">See </w:t>
      </w:r>
      <w:r w:rsidRPr="00B85768">
        <w:rPr>
          <w:bCs/>
        </w:rPr>
        <w:t xml:space="preserve">Amara </w:t>
      </w:r>
      <w:proofErr w:type="spellStart"/>
      <w:r w:rsidRPr="00B85768">
        <w:rPr>
          <w:bCs/>
        </w:rPr>
        <w:t>Omeokwe</w:t>
      </w:r>
      <w:proofErr w:type="spellEnd"/>
      <w:r w:rsidRPr="00B85768">
        <w:rPr>
          <w:bCs/>
        </w:rPr>
        <w:t xml:space="preserve">. “SBA Veered </w:t>
      </w:r>
      <w:proofErr w:type="gramStart"/>
      <w:r w:rsidRPr="00B85768">
        <w:rPr>
          <w:bCs/>
        </w:rPr>
        <w:t>From</w:t>
      </w:r>
      <w:proofErr w:type="gramEnd"/>
      <w:r w:rsidRPr="00B85768">
        <w:rPr>
          <w:bCs/>
        </w:rPr>
        <w:t xml:space="preserve">  Guidelines on Small Business Loans, Report Says.”  </w:t>
      </w:r>
      <w:r w:rsidRPr="00B85768">
        <w:rPr>
          <w:bCs/>
          <w:i/>
        </w:rPr>
        <w:t>Wall Street Journal</w:t>
      </w:r>
      <w:r w:rsidRPr="00B85768">
        <w:rPr>
          <w:bCs/>
        </w:rPr>
        <w:t xml:space="preserve">, May 8, </w:t>
      </w:r>
      <w:proofErr w:type="gramStart"/>
      <w:r w:rsidRPr="00B85768">
        <w:rPr>
          <w:bCs/>
        </w:rPr>
        <w:t>2020</w:t>
      </w:r>
      <w:proofErr w:type="gramEnd"/>
      <w:r w:rsidRPr="00B85768">
        <w:rPr>
          <w:bCs/>
          <w:sz w:val="20"/>
        </w:rPr>
        <w:t xml:space="preserve"> </w:t>
      </w:r>
      <w:hyperlink r:id="rId16" w:history="1">
        <w:r w:rsidRPr="00B85768">
          <w:rPr>
            <w:rStyle w:val="Hyperlink"/>
            <w:bCs/>
            <w:sz w:val="20"/>
          </w:rPr>
          <w:t>https://www.wsj.com/articles/sba-veered-from-guidelines-on-small-business-loans-report-says-11588971101</w:t>
        </w:r>
      </w:hyperlink>
      <w:r w:rsidRPr="00B85768">
        <w:rPr>
          <w:bCs/>
          <w:sz w:val="20"/>
        </w:rPr>
        <w:t xml:space="preserve"> </w:t>
      </w:r>
    </w:p>
    <w:p w14:paraId="27802B2B" w14:textId="77777777" w:rsidR="00C67E35" w:rsidRPr="00B85768" w:rsidRDefault="00C67E35" w:rsidP="00C67E35">
      <w:pPr>
        <w:rPr>
          <w:bCs/>
        </w:rPr>
      </w:pPr>
      <w:r>
        <w:rPr>
          <w:b/>
          <w:bCs/>
        </w:rPr>
        <w:br w:type="column"/>
      </w:r>
      <w:r w:rsidRPr="00EE1B01">
        <w:rPr>
          <w:b/>
          <w:bCs/>
        </w:rPr>
        <w:lastRenderedPageBreak/>
        <w:t>PPP Loan</w:t>
      </w:r>
      <w:r>
        <w:rPr>
          <w:b/>
          <w:bCs/>
        </w:rPr>
        <w:t>s</w:t>
      </w:r>
      <w:r w:rsidRPr="00EE1B01">
        <w:rPr>
          <w:b/>
          <w:bCs/>
        </w:rPr>
        <w:t>: Computation</w:t>
      </w:r>
      <w:r>
        <w:rPr>
          <w:b/>
          <w:bCs/>
        </w:rPr>
        <w:t xml:space="preserve"> of Amount and Maximum</w:t>
      </w:r>
      <w:r w:rsidRPr="00EE1B01">
        <w:rPr>
          <w:b/>
          <w:bCs/>
        </w:rPr>
        <w:t>.</w:t>
      </w:r>
      <w:r w:rsidRPr="00B85768">
        <w:rPr>
          <w:b/>
          <w:bCs/>
        </w:rPr>
        <w:t xml:space="preserve">  </w:t>
      </w:r>
      <w:r w:rsidRPr="00B85768">
        <w:rPr>
          <w:bCs/>
        </w:rPr>
        <w:t xml:space="preserve">Under the CARES Act (§1106(b)), the taxpayer’s PPP loan is limited.  As seen in the </w:t>
      </w:r>
      <w:r w:rsidRPr="00AF78F2">
        <w:rPr>
          <w:bCs/>
        </w:rPr>
        <w:t>application form above</w:t>
      </w:r>
      <w:r w:rsidRPr="00B85768">
        <w:rPr>
          <w:bCs/>
        </w:rPr>
        <w:t xml:space="preserve">, the loan cannot exceed </w:t>
      </w:r>
      <w:r w:rsidRPr="00781BD3">
        <w:rPr>
          <w:b/>
          <w:i/>
          <w:iCs/>
        </w:rPr>
        <w:t>2.5 times the employer’s average monthly payroll costs</w:t>
      </w:r>
      <w:r w:rsidRPr="00B85768">
        <w:rPr>
          <w:bCs/>
        </w:rPr>
        <w:t xml:space="preserve"> (see </w:t>
      </w:r>
      <w:r w:rsidRPr="0087492D">
        <w:rPr>
          <w:bCs/>
        </w:rPr>
        <w:t xml:space="preserve">calculation </w:t>
      </w:r>
      <w:r w:rsidRPr="00B85768">
        <w:rPr>
          <w:bCs/>
        </w:rPr>
        <w:t>below) plus any disaster loans obtained after January 31</w:t>
      </w:r>
      <w:r>
        <w:rPr>
          <w:bCs/>
        </w:rPr>
        <w:t xml:space="preserve">, </w:t>
      </w:r>
      <w:proofErr w:type="gramStart"/>
      <w:r>
        <w:rPr>
          <w:bCs/>
        </w:rPr>
        <w:t>2020</w:t>
      </w:r>
      <w:proofErr w:type="gramEnd"/>
      <w:r w:rsidRPr="00B85768">
        <w:rPr>
          <w:bCs/>
        </w:rPr>
        <w:t xml:space="preserve"> that are refinanced into a PPP loan.  The maximum loan is $10 million.  Note that prior to the SBA guidance, a single company could obtain the maximum loan for each business location so a business with multiple locations could obtain multiple loans. </w:t>
      </w:r>
    </w:p>
    <w:p w14:paraId="7B04DB65" w14:textId="77777777" w:rsidR="00C67E35" w:rsidRPr="00B85768" w:rsidRDefault="00C67E35" w:rsidP="00C67E35">
      <w:pPr>
        <w:rPr>
          <w:bCs/>
        </w:rPr>
      </w:pPr>
      <w:r>
        <w:rPr>
          <w:bCs/>
        </w:rPr>
        <w:tab/>
        <w:t>The</w:t>
      </w:r>
      <w:r w:rsidRPr="00B85768">
        <w:rPr>
          <w:bCs/>
        </w:rPr>
        <w:t xml:space="preserve"> average monthly payroll </w:t>
      </w:r>
      <w:r>
        <w:rPr>
          <w:bCs/>
        </w:rPr>
        <w:t xml:space="preserve">normally is </w:t>
      </w:r>
      <w:r w:rsidRPr="00B85768">
        <w:rPr>
          <w:bCs/>
        </w:rPr>
        <w:t>calculated based on the employer’s 12 months of payroll costs</w:t>
      </w:r>
      <w:r>
        <w:rPr>
          <w:bCs/>
        </w:rPr>
        <w:t xml:space="preserve"> prior to the application date—although some applicants have reported that they have </w:t>
      </w:r>
      <w:proofErr w:type="gramStart"/>
      <w:r>
        <w:rPr>
          <w:bCs/>
        </w:rPr>
        <w:t>used</w:t>
      </w:r>
      <w:proofErr w:type="gramEnd"/>
      <w:r>
        <w:rPr>
          <w:bCs/>
        </w:rPr>
        <w:t xml:space="preserve"> and the banks have accepted the 2019 calendar year average.</w:t>
      </w:r>
      <w:r w:rsidRPr="00B85768">
        <w:rPr>
          <w:bCs/>
        </w:rPr>
        <w:t xml:space="preserve"> </w:t>
      </w:r>
      <w:r>
        <w:rPr>
          <w:bCs/>
        </w:rPr>
        <w:t xml:space="preserve"> </w:t>
      </w:r>
      <w:r w:rsidRPr="00B85768">
        <w:rPr>
          <w:bCs/>
        </w:rPr>
        <w:t xml:space="preserve">That </w:t>
      </w:r>
      <w:r w:rsidRPr="00B85768">
        <w:rPr>
          <w:bCs/>
          <w:i/>
          <w:u w:val="single"/>
        </w:rPr>
        <w:t>average</w:t>
      </w:r>
      <w:r w:rsidRPr="00B85768">
        <w:rPr>
          <w:bCs/>
        </w:rPr>
        <w:t xml:space="preserve"> monthly payroll number is then multiplied by 2.5.  The multiplier of 2.5 or 250% represents the fact that the loan is designed to cover 2 ½ months of payroll costs.  For example, assume the employer’s total payroll cost for the year was $240,000, in which case the average monthly payroll cost for the prior 12 months would be $20,000 ($240,000/12).  As a result, the employer would qualify for a $50,000 PPP Loan (2.5 x $20,000 average payroll cost). </w:t>
      </w:r>
    </w:p>
    <w:p w14:paraId="0461BC8A" w14:textId="77777777" w:rsidR="00C67E35" w:rsidRDefault="00C67E35" w:rsidP="00C67E35">
      <w:pPr>
        <w:rPr>
          <w:bCs/>
        </w:rPr>
      </w:pPr>
      <w:r>
        <w:rPr>
          <w:bCs/>
        </w:rPr>
        <w:tab/>
      </w:r>
      <w:r w:rsidRPr="00B85768">
        <w:rPr>
          <w:bCs/>
        </w:rPr>
        <w:t>For purposes of computing the loan, payroll costs are limited to certain expenses incurred during the 8 weeks that begins when the loan originate</w:t>
      </w:r>
      <w:r>
        <w:rPr>
          <w:bCs/>
        </w:rPr>
        <w:t>d</w:t>
      </w:r>
      <w:r w:rsidRPr="00B85768">
        <w:rPr>
          <w:bCs/>
        </w:rPr>
        <w:t xml:space="preserve"> (the “covered period”). </w:t>
      </w:r>
    </w:p>
    <w:p w14:paraId="348A9D93" w14:textId="77777777" w:rsidR="00C67E35" w:rsidRPr="00434C31" w:rsidRDefault="00C67E35" w:rsidP="00C67E35">
      <w:pPr>
        <w:rPr>
          <w:bCs/>
          <w:sz w:val="14"/>
          <w:szCs w:val="10"/>
        </w:rPr>
      </w:pPr>
      <w:r w:rsidRPr="00434C31">
        <w:rPr>
          <w:bCs/>
          <w:sz w:val="14"/>
          <w:szCs w:val="10"/>
        </w:rPr>
        <w:t>`</w:t>
      </w:r>
    </w:p>
    <w:p w14:paraId="44CBE705" w14:textId="77777777" w:rsidR="00C67E35" w:rsidRPr="00B85768" w:rsidRDefault="00C67E35" w:rsidP="00C67E35">
      <w:pPr>
        <w:rPr>
          <w:bCs/>
        </w:rPr>
      </w:pPr>
      <w:r w:rsidRPr="00B85768">
        <w:rPr>
          <w:bCs/>
        </w:rPr>
        <w:t>Payroll costs include (Act § 1102(a)(1)(A)(viii))</w:t>
      </w:r>
    </w:p>
    <w:p w14:paraId="5D6A83C1" w14:textId="77777777" w:rsidR="00C67E35" w:rsidRPr="00B85768" w:rsidRDefault="00C67E35" w:rsidP="00C67E35">
      <w:pPr>
        <w:pStyle w:val="ListParagraph"/>
        <w:numPr>
          <w:ilvl w:val="0"/>
          <w:numId w:val="14"/>
        </w:numPr>
        <w:autoSpaceDE w:val="0"/>
        <w:autoSpaceDN w:val="0"/>
        <w:adjustRightInd w:val="0"/>
        <w:ind w:left="720"/>
        <w:jc w:val="left"/>
        <w:rPr>
          <w:bCs/>
          <w:sz w:val="22"/>
        </w:rPr>
      </w:pPr>
      <w:r w:rsidRPr="00B85768">
        <w:rPr>
          <w:bCs/>
          <w:sz w:val="22"/>
        </w:rPr>
        <w:t>Wages, salary, or similar compensation to an employee or independent contractor (</w:t>
      </w:r>
      <w:r>
        <w:rPr>
          <w:bCs/>
          <w:sz w:val="22"/>
        </w:rPr>
        <w:t>up</w:t>
      </w:r>
      <w:r w:rsidRPr="00B85768">
        <w:rPr>
          <w:bCs/>
          <w:sz w:val="22"/>
        </w:rPr>
        <w:t xml:space="preserve"> to $100,000 plus amounts paid for unemployment taxes, premiums for group health plans, contributions to retirement plans and state or local taxes asses on compensation such as unemployment taxes)</w:t>
      </w:r>
    </w:p>
    <w:p w14:paraId="5A4D7441" w14:textId="77777777" w:rsidR="00C67E35" w:rsidRPr="00B85768" w:rsidRDefault="00C67E35" w:rsidP="00C67E35">
      <w:pPr>
        <w:pStyle w:val="ListParagraph"/>
        <w:numPr>
          <w:ilvl w:val="0"/>
          <w:numId w:val="14"/>
        </w:numPr>
        <w:autoSpaceDE w:val="0"/>
        <w:autoSpaceDN w:val="0"/>
        <w:adjustRightInd w:val="0"/>
        <w:ind w:left="720"/>
        <w:jc w:val="left"/>
        <w:rPr>
          <w:bCs/>
          <w:sz w:val="22"/>
        </w:rPr>
      </w:pPr>
      <w:r w:rsidRPr="00B85768">
        <w:rPr>
          <w:bCs/>
          <w:sz w:val="22"/>
        </w:rPr>
        <w:t>Cash tips or equivalent</w:t>
      </w:r>
    </w:p>
    <w:p w14:paraId="6871C617" w14:textId="77777777" w:rsidR="00C67E35" w:rsidRPr="00B85768" w:rsidRDefault="00C67E35" w:rsidP="00C67E35">
      <w:pPr>
        <w:pStyle w:val="ListParagraph"/>
        <w:numPr>
          <w:ilvl w:val="0"/>
          <w:numId w:val="14"/>
        </w:numPr>
        <w:autoSpaceDE w:val="0"/>
        <w:autoSpaceDN w:val="0"/>
        <w:adjustRightInd w:val="0"/>
        <w:ind w:left="720"/>
        <w:jc w:val="left"/>
        <w:rPr>
          <w:bCs/>
          <w:sz w:val="22"/>
        </w:rPr>
      </w:pPr>
      <w:r w:rsidRPr="00B85768">
        <w:rPr>
          <w:bCs/>
          <w:sz w:val="22"/>
        </w:rPr>
        <w:t>Vacation, parental, family, medical or sick leave</w:t>
      </w:r>
    </w:p>
    <w:p w14:paraId="6FC95072" w14:textId="77777777" w:rsidR="00C67E35" w:rsidRPr="00B85768" w:rsidRDefault="00C67E35" w:rsidP="00C67E35">
      <w:pPr>
        <w:pStyle w:val="ListParagraph"/>
        <w:numPr>
          <w:ilvl w:val="0"/>
          <w:numId w:val="14"/>
        </w:numPr>
        <w:autoSpaceDE w:val="0"/>
        <w:autoSpaceDN w:val="0"/>
        <w:adjustRightInd w:val="0"/>
        <w:ind w:left="720"/>
        <w:jc w:val="left"/>
        <w:rPr>
          <w:bCs/>
          <w:sz w:val="22"/>
        </w:rPr>
      </w:pPr>
      <w:r w:rsidRPr="00B85768">
        <w:rPr>
          <w:bCs/>
          <w:sz w:val="22"/>
        </w:rPr>
        <w:t>Allowances for dismissal or separation</w:t>
      </w:r>
    </w:p>
    <w:p w14:paraId="19201B6E" w14:textId="77777777" w:rsidR="00C67E35" w:rsidRPr="00434C31" w:rsidRDefault="00C67E35" w:rsidP="00C67E35">
      <w:pPr>
        <w:rPr>
          <w:bCs/>
          <w:sz w:val="14"/>
          <w:szCs w:val="10"/>
        </w:rPr>
      </w:pPr>
    </w:p>
    <w:p w14:paraId="7FC901BB" w14:textId="77777777" w:rsidR="00C67E35" w:rsidRPr="00B85768" w:rsidRDefault="00C67E35" w:rsidP="00C67E35">
      <w:pPr>
        <w:rPr>
          <w:bCs/>
        </w:rPr>
      </w:pPr>
      <w:r w:rsidRPr="00B85768">
        <w:rPr>
          <w:bCs/>
        </w:rPr>
        <w:t>Payroll costs do not include:</w:t>
      </w:r>
    </w:p>
    <w:p w14:paraId="5D545AAB" w14:textId="77777777" w:rsidR="00C67E35" w:rsidRPr="00B85768" w:rsidRDefault="00C67E35" w:rsidP="00C67E35">
      <w:pPr>
        <w:pStyle w:val="ListParagraph"/>
        <w:numPr>
          <w:ilvl w:val="0"/>
          <w:numId w:val="16"/>
        </w:numPr>
        <w:autoSpaceDE w:val="0"/>
        <w:autoSpaceDN w:val="0"/>
        <w:adjustRightInd w:val="0"/>
        <w:jc w:val="left"/>
        <w:rPr>
          <w:bCs/>
          <w:sz w:val="22"/>
        </w:rPr>
      </w:pPr>
      <w:r w:rsidRPr="00B85768">
        <w:rPr>
          <w:bCs/>
          <w:sz w:val="22"/>
        </w:rPr>
        <w:t xml:space="preserve">Compensation of any individual employee </w:t>
      </w:r>
      <w:proofErr w:type="gramStart"/>
      <w:r w:rsidRPr="00B85768">
        <w:rPr>
          <w:bCs/>
          <w:sz w:val="22"/>
        </w:rPr>
        <w:t>in excess of</w:t>
      </w:r>
      <w:proofErr w:type="gramEnd"/>
      <w:r w:rsidRPr="00B85768">
        <w:rPr>
          <w:bCs/>
          <w:sz w:val="22"/>
        </w:rPr>
        <w:t xml:space="preserve"> an annual salary of $100,000</w:t>
      </w:r>
    </w:p>
    <w:p w14:paraId="08273627" w14:textId="77777777" w:rsidR="00C67E35" w:rsidRPr="00B85768" w:rsidRDefault="00C67E35" w:rsidP="00C67E35">
      <w:pPr>
        <w:pStyle w:val="ListParagraph"/>
        <w:numPr>
          <w:ilvl w:val="0"/>
          <w:numId w:val="15"/>
        </w:numPr>
        <w:autoSpaceDE w:val="0"/>
        <w:autoSpaceDN w:val="0"/>
        <w:adjustRightInd w:val="0"/>
        <w:jc w:val="left"/>
        <w:rPr>
          <w:bCs/>
          <w:sz w:val="22"/>
        </w:rPr>
      </w:pPr>
      <w:r w:rsidRPr="00B85768">
        <w:rPr>
          <w:bCs/>
          <w:sz w:val="22"/>
        </w:rPr>
        <w:t>Federal payroll taxes</w:t>
      </w:r>
    </w:p>
    <w:p w14:paraId="63553C73" w14:textId="77777777" w:rsidR="00C67E35" w:rsidRPr="00B85768" w:rsidRDefault="00C67E35" w:rsidP="00C67E35">
      <w:pPr>
        <w:pStyle w:val="ListParagraph"/>
        <w:numPr>
          <w:ilvl w:val="0"/>
          <w:numId w:val="15"/>
        </w:numPr>
        <w:autoSpaceDE w:val="0"/>
        <w:autoSpaceDN w:val="0"/>
        <w:adjustRightInd w:val="0"/>
        <w:jc w:val="left"/>
        <w:rPr>
          <w:bCs/>
          <w:sz w:val="22"/>
        </w:rPr>
      </w:pPr>
      <w:r w:rsidRPr="00B85768">
        <w:rPr>
          <w:bCs/>
          <w:sz w:val="22"/>
        </w:rPr>
        <w:t>Compensation of an employee whose principal place of residence is outside the U.S.</w:t>
      </w:r>
    </w:p>
    <w:p w14:paraId="57FCF027" w14:textId="77777777" w:rsidR="00C67E35" w:rsidRPr="00B85768" w:rsidRDefault="00C67E35" w:rsidP="00C67E35">
      <w:pPr>
        <w:pStyle w:val="ListParagraph"/>
        <w:numPr>
          <w:ilvl w:val="0"/>
          <w:numId w:val="15"/>
        </w:numPr>
        <w:autoSpaceDE w:val="0"/>
        <w:autoSpaceDN w:val="0"/>
        <w:adjustRightInd w:val="0"/>
        <w:jc w:val="left"/>
        <w:rPr>
          <w:bCs/>
          <w:sz w:val="22"/>
        </w:rPr>
      </w:pPr>
      <w:r w:rsidRPr="00B85768">
        <w:rPr>
          <w:bCs/>
          <w:sz w:val="22"/>
        </w:rPr>
        <w:t xml:space="preserve">Qualified sick leave or family medical leave for which a credit is allowed under the </w:t>
      </w:r>
      <w:r>
        <w:rPr>
          <w:bCs/>
          <w:sz w:val="22"/>
        </w:rPr>
        <w:t>PPP rules</w:t>
      </w:r>
    </w:p>
    <w:p w14:paraId="1D95E2FC" w14:textId="77777777" w:rsidR="00C67E35" w:rsidRPr="00B85768" w:rsidRDefault="00C67E35" w:rsidP="00C67E35">
      <w:pPr>
        <w:pStyle w:val="ListParagraph"/>
        <w:numPr>
          <w:ilvl w:val="0"/>
          <w:numId w:val="15"/>
        </w:numPr>
        <w:autoSpaceDE w:val="0"/>
        <w:autoSpaceDN w:val="0"/>
        <w:adjustRightInd w:val="0"/>
        <w:jc w:val="left"/>
        <w:rPr>
          <w:bCs/>
          <w:sz w:val="22"/>
        </w:rPr>
      </w:pPr>
      <w:r w:rsidRPr="00B85768">
        <w:rPr>
          <w:bCs/>
          <w:sz w:val="22"/>
        </w:rPr>
        <w:t>Payments to independent contractors</w:t>
      </w:r>
    </w:p>
    <w:p w14:paraId="1A3196B8" w14:textId="77777777" w:rsidR="00C67E35" w:rsidRPr="00434C31" w:rsidRDefault="00C67E35" w:rsidP="00C67E35">
      <w:pPr>
        <w:rPr>
          <w:bCs/>
          <w:sz w:val="14"/>
          <w:szCs w:val="10"/>
        </w:rPr>
      </w:pPr>
    </w:p>
    <w:p w14:paraId="7B6FDB05" w14:textId="77777777" w:rsidR="00C67E35" w:rsidRPr="00B85768" w:rsidRDefault="00C67E35" w:rsidP="00C67E35">
      <w:pPr>
        <w:rPr>
          <w:bCs/>
        </w:rPr>
      </w:pPr>
      <w:r w:rsidRPr="00F80C62">
        <w:rPr>
          <w:b/>
          <w:bCs/>
          <w:i/>
        </w:rPr>
        <w:t>PPP Loan Amount</w:t>
      </w:r>
      <w:r w:rsidRPr="00B85768">
        <w:rPr>
          <w:b/>
          <w:bCs/>
        </w:rPr>
        <w:t xml:space="preserve">.  </w:t>
      </w:r>
      <w:r w:rsidRPr="00B85768">
        <w:rPr>
          <w:bCs/>
        </w:rPr>
        <w:t>The  maximum amount of a PPP loan is limited to the lesser of (a) or (b):</w:t>
      </w:r>
    </w:p>
    <w:p w14:paraId="0D324847" w14:textId="77777777" w:rsidR="00C67E35" w:rsidRPr="00434C31" w:rsidRDefault="00C67E35" w:rsidP="00C67E35">
      <w:pPr>
        <w:rPr>
          <w:bCs/>
          <w:sz w:val="14"/>
          <w:szCs w:val="10"/>
        </w:rPr>
      </w:pPr>
    </w:p>
    <w:p w14:paraId="5D0B9033" w14:textId="77777777" w:rsidR="00C67E35" w:rsidRPr="00B85768" w:rsidRDefault="00C67E35" w:rsidP="00C67E35">
      <w:pPr>
        <w:tabs>
          <w:tab w:val="left" w:pos="540"/>
          <w:tab w:val="left" w:pos="900"/>
          <w:tab w:val="left" w:pos="1260"/>
        </w:tabs>
        <w:ind w:left="270"/>
      </w:pPr>
      <w:r w:rsidRPr="00B85768">
        <w:t>a.</w:t>
      </w:r>
      <w:r w:rsidRPr="00B85768">
        <w:tab/>
      </w:r>
      <w:r w:rsidRPr="00B85768">
        <w:tab/>
        <w:t>(1)</w:t>
      </w:r>
      <w:r w:rsidRPr="00B85768">
        <w:tab/>
        <w:t xml:space="preserve"> 250% of the employer’s </w:t>
      </w:r>
      <w:r w:rsidRPr="00B85768">
        <w:rPr>
          <w:b/>
          <w:i/>
        </w:rPr>
        <w:t>average</w:t>
      </w:r>
      <w:r w:rsidRPr="00B85768">
        <w:t xml:space="preserve"> </w:t>
      </w:r>
      <w:r w:rsidRPr="00B85768">
        <w:rPr>
          <w:b/>
          <w:i/>
        </w:rPr>
        <w:t>monthly</w:t>
      </w:r>
      <w:r w:rsidRPr="00B85768">
        <w:t xml:space="preserve"> </w:t>
      </w:r>
      <w:r w:rsidRPr="00B85768">
        <w:rPr>
          <w:b/>
          <w:i/>
          <w:iCs/>
        </w:rPr>
        <w:t>payroll costs</w:t>
      </w:r>
      <w:r w:rsidRPr="00B85768">
        <w:rPr>
          <w:b/>
          <w:iCs/>
        </w:rPr>
        <w:t xml:space="preserve"> </w:t>
      </w:r>
      <w:r w:rsidRPr="00B85768">
        <w:rPr>
          <w:iCs/>
        </w:rPr>
        <w:t>(listed above)</w:t>
      </w:r>
      <w:r w:rsidRPr="00B85768">
        <w:t xml:space="preserve"> for the 1-year period </w:t>
      </w:r>
      <w:r w:rsidRPr="00B85768">
        <w:br/>
      </w:r>
      <w:r w:rsidRPr="00B85768">
        <w:tab/>
      </w:r>
      <w:r w:rsidRPr="00B85768">
        <w:tab/>
      </w:r>
      <w:r w:rsidRPr="00B85768">
        <w:tab/>
        <w:t xml:space="preserve">ending on the </w:t>
      </w:r>
      <w:r>
        <w:t>loan application dat</w:t>
      </w:r>
      <w:r w:rsidRPr="00B85768">
        <w:t>e</w:t>
      </w:r>
    </w:p>
    <w:p w14:paraId="1FA7EE83" w14:textId="77777777" w:rsidR="00C67E35" w:rsidRPr="00B85768" w:rsidRDefault="00C67E35" w:rsidP="00C67E35">
      <w:pPr>
        <w:tabs>
          <w:tab w:val="left" w:pos="540"/>
          <w:tab w:val="left" w:pos="900"/>
          <w:tab w:val="left" w:pos="1260"/>
        </w:tabs>
        <w:rPr>
          <w:bCs/>
        </w:rPr>
      </w:pPr>
      <w:r w:rsidRPr="00B85768">
        <w:tab/>
        <w:t>+</w:t>
      </w:r>
      <w:r w:rsidRPr="00B85768">
        <w:tab/>
        <w:t>(2)</w:t>
      </w:r>
      <w:r w:rsidRPr="00B85768">
        <w:tab/>
      </w:r>
      <w:r w:rsidRPr="00B85768">
        <w:rPr>
          <w:bCs/>
        </w:rPr>
        <w:t xml:space="preserve">Any disaster loan taken out after January 31, </w:t>
      </w:r>
      <w:proofErr w:type="gramStart"/>
      <w:r w:rsidRPr="00B85768">
        <w:rPr>
          <w:bCs/>
        </w:rPr>
        <w:t>2020</w:t>
      </w:r>
      <w:proofErr w:type="gramEnd"/>
      <w:r w:rsidRPr="00B85768">
        <w:rPr>
          <w:bCs/>
        </w:rPr>
        <w:t xml:space="preserve"> that has been refinanced into a </w:t>
      </w:r>
      <w:r w:rsidRPr="00B85768">
        <w:rPr>
          <w:bCs/>
        </w:rPr>
        <w:br/>
      </w:r>
      <w:r w:rsidRPr="00B85768">
        <w:rPr>
          <w:bCs/>
        </w:rPr>
        <w:tab/>
      </w:r>
      <w:r w:rsidRPr="00B85768">
        <w:rPr>
          <w:bCs/>
          <w:u w:val="single"/>
        </w:rPr>
        <w:tab/>
      </w:r>
      <w:r w:rsidRPr="00B85768">
        <w:rPr>
          <w:bCs/>
          <w:u w:val="single"/>
        </w:rPr>
        <w:tab/>
        <w:t xml:space="preserve">paycheck protection loan.  </w:t>
      </w:r>
    </w:p>
    <w:p w14:paraId="0875E658" w14:textId="77777777" w:rsidR="00C67E35" w:rsidRPr="00B85768" w:rsidRDefault="00C67E35" w:rsidP="00C67E35">
      <w:pPr>
        <w:tabs>
          <w:tab w:val="left" w:pos="540"/>
          <w:tab w:val="left" w:pos="900"/>
        </w:tabs>
        <w:rPr>
          <w:bCs/>
          <w:u w:val="double"/>
        </w:rPr>
      </w:pPr>
      <w:r w:rsidRPr="00B85768">
        <w:rPr>
          <w:bCs/>
        </w:rPr>
        <w:tab/>
      </w:r>
      <w:r w:rsidRPr="00B85768">
        <w:rPr>
          <w:bCs/>
        </w:rPr>
        <w:tab/>
      </w:r>
      <w:r w:rsidRPr="00B85768">
        <w:rPr>
          <w:bCs/>
          <w:u w:val="double"/>
        </w:rPr>
        <w:t>Payroll costs and disaster loans</w:t>
      </w:r>
    </w:p>
    <w:p w14:paraId="2E126DC6" w14:textId="77777777" w:rsidR="00C67E35" w:rsidRPr="00434C31" w:rsidRDefault="00C67E35" w:rsidP="00C67E35">
      <w:pPr>
        <w:rPr>
          <w:bCs/>
          <w:sz w:val="14"/>
          <w:szCs w:val="10"/>
        </w:rPr>
      </w:pPr>
    </w:p>
    <w:p w14:paraId="140A1A6D" w14:textId="77777777" w:rsidR="00C67E35" w:rsidRPr="00FF5E9E" w:rsidRDefault="00C67E35" w:rsidP="00C67E35">
      <w:pPr>
        <w:tabs>
          <w:tab w:val="left" w:pos="540"/>
          <w:tab w:val="left" w:pos="900"/>
        </w:tabs>
        <w:ind w:left="270"/>
        <w:rPr>
          <w:bCs/>
        </w:rPr>
      </w:pPr>
      <w:r w:rsidRPr="00FF5E9E">
        <w:rPr>
          <w:bCs/>
        </w:rPr>
        <w:t>b.</w:t>
      </w:r>
      <w:r w:rsidRPr="00FF5E9E">
        <w:rPr>
          <w:bCs/>
        </w:rPr>
        <w:tab/>
      </w:r>
      <w:r w:rsidRPr="00FF5E9E">
        <w:rPr>
          <w:bCs/>
        </w:rPr>
        <w:tab/>
        <w:t>$10 million</w:t>
      </w:r>
    </w:p>
    <w:p w14:paraId="62A484BD" w14:textId="77777777" w:rsidR="00C67E35" w:rsidRPr="00781BD3" w:rsidRDefault="00C67E35" w:rsidP="00C67E35">
      <w:pPr>
        <w:rPr>
          <w:bCs/>
          <w:sz w:val="20"/>
          <w:szCs w:val="16"/>
        </w:rPr>
      </w:pPr>
    </w:p>
    <w:p w14:paraId="5C8528E4" w14:textId="77777777" w:rsidR="00C67E35" w:rsidRDefault="00C67E35" w:rsidP="00C67E35">
      <w:pPr>
        <w:rPr>
          <w:bCs/>
        </w:rPr>
      </w:pPr>
      <w:r w:rsidRPr="00B85768">
        <w:rPr>
          <w:b/>
        </w:rPr>
        <w:t xml:space="preserve">Example 4. </w:t>
      </w:r>
      <w:r w:rsidRPr="00B85768">
        <w:rPr>
          <w:bCs/>
        </w:rPr>
        <w:t xml:space="preserve"> THX Inc. (a</w:t>
      </w:r>
      <w:r>
        <w:rPr>
          <w:bCs/>
        </w:rPr>
        <w:t>n S or</w:t>
      </w:r>
      <w:r w:rsidRPr="00B85768">
        <w:rPr>
          <w:bCs/>
        </w:rPr>
        <w:t xml:space="preserve"> C corporation) applies for a </w:t>
      </w:r>
      <w:r>
        <w:rPr>
          <w:bCs/>
        </w:rPr>
        <w:t>PPP</w:t>
      </w:r>
      <w:r w:rsidRPr="00B85768">
        <w:rPr>
          <w:bCs/>
        </w:rPr>
        <w:t xml:space="preserve"> loan </w:t>
      </w:r>
      <w:r>
        <w:rPr>
          <w:bCs/>
        </w:rPr>
        <w:t>from First Bank</w:t>
      </w:r>
      <w:r w:rsidRPr="00B85768">
        <w:rPr>
          <w:bCs/>
        </w:rPr>
        <w:t xml:space="preserve"> on April 1, 2020. The business had payroll costs </w:t>
      </w:r>
      <w:r>
        <w:rPr>
          <w:bCs/>
        </w:rPr>
        <w:t xml:space="preserve">of </w:t>
      </w:r>
      <w:r w:rsidRPr="00B85768">
        <w:rPr>
          <w:bCs/>
        </w:rPr>
        <w:t>$600,000 for the</w:t>
      </w:r>
      <w:r>
        <w:rPr>
          <w:bCs/>
        </w:rPr>
        <w:t xml:space="preserve"> prior</w:t>
      </w:r>
      <w:r w:rsidRPr="00B85768">
        <w:rPr>
          <w:bCs/>
        </w:rPr>
        <w:t xml:space="preserve"> 12 months (April 1, 2019, through March 31, 2020), a monthly average of $50,000 ($600,000/12). </w:t>
      </w:r>
      <w:r>
        <w:rPr>
          <w:bCs/>
        </w:rPr>
        <w:t>Using</w:t>
      </w:r>
      <w:r w:rsidRPr="00B85768">
        <w:rPr>
          <w:bCs/>
        </w:rPr>
        <w:t xml:space="preserve"> the guidelines above, the business is entitled to a fully guaranteed federal loan of $125,000, the lesser of: </w:t>
      </w:r>
    </w:p>
    <w:p w14:paraId="7B7E91AF" w14:textId="77777777" w:rsidR="00C67E35" w:rsidRPr="00434C31" w:rsidRDefault="00C67E35" w:rsidP="00C67E35">
      <w:pPr>
        <w:rPr>
          <w:bCs/>
          <w:sz w:val="14"/>
          <w:szCs w:val="10"/>
        </w:rPr>
      </w:pPr>
    </w:p>
    <w:p w14:paraId="41A7E521" w14:textId="77777777" w:rsidR="00C67E35" w:rsidRPr="00781BD3" w:rsidRDefault="00C67E35" w:rsidP="00C67E35">
      <w:pPr>
        <w:ind w:left="360"/>
        <w:rPr>
          <w:bCs/>
          <w:sz w:val="20"/>
        </w:rPr>
      </w:pPr>
      <w:r w:rsidRPr="00781BD3">
        <w:rPr>
          <w:bCs/>
          <w:sz w:val="20"/>
        </w:rPr>
        <w:t>(1) $125,000 ($50,000 of average monthly payroll costs x 250%) or</w:t>
      </w:r>
    </w:p>
    <w:p w14:paraId="610DF4E2" w14:textId="77777777" w:rsidR="00C67E35" w:rsidRPr="00781BD3" w:rsidRDefault="00C67E35" w:rsidP="00C67E35">
      <w:pPr>
        <w:ind w:left="360"/>
        <w:rPr>
          <w:bCs/>
          <w:sz w:val="20"/>
        </w:rPr>
      </w:pPr>
      <w:r w:rsidRPr="00781BD3">
        <w:rPr>
          <w:bCs/>
          <w:sz w:val="20"/>
        </w:rPr>
        <w:t xml:space="preserve">(2) $10 million.  </w:t>
      </w:r>
    </w:p>
    <w:p w14:paraId="6F787065" w14:textId="77777777" w:rsidR="00C67E35" w:rsidRDefault="00C67E35" w:rsidP="00C67E35">
      <w:pPr>
        <w:rPr>
          <w:bCs/>
        </w:rPr>
      </w:pPr>
    </w:p>
    <w:p w14:paraId="7A7CBAEA" w14:textId="77777777" w:rsidR="00C67E35" w:rsidRPr="00B85768" w:rsidRDefault="00C67E35" w:rsidP="00C67E35">
      <w:pPr>
        <w:rPr>
          <w:bCs/>
        </w:rPr>
      </w:pPr>
      <w:r w:rsidRPr="00B85768">
        <w:rPr>
          <w:bCs/>
        </w:rPr>
        <w:t>In effect, the loan covers 2 ½ months of payroll costs based on the a</w:t>
      </w:r>
      <w:r>
        <w:rPr>
          <w:bCs/>
        </w:rPr>
        <w:t>verage of the prior 12 months.</w:t>
      </w:r>
    </w:p>
    <w:p w14:paraId="1B338C42" w14:textId="415D7262" w:rsidR="00446B7F" w:rsidRDefault="00446B7F" w:rsidP="00C67E35">
      <w:pPr>
        <w:overflowPunct/>
        <w:textAlignment w:val="auto"/>
        <w:rPr>
          <w:bCs/>
          <w:highlight w:val="yellow"/>
        </w:rPr>
      </w:pPr>
    </w:p>
    <w:p w14:paraId="38F9F0AB" w14:textId="77777777" w:rsidR="00C67E35" w:rsidRPr="00371EE1" w:rsidRDefault="00C67E35" w:rsidP="00C67E35">
      <w:pPr>
        <w:overflowPunct/>
        <w:textAlignment w:val="auto"/>
        <w:rPr>
          <w:bCs/>
          <w:highlight w:val="yellow"/>
        </w:rPr>
      </w:pPr>
    </w:p>
    <w:p w14:paraId="460EAEA7" w14:textId="77777777" w:rsidR="00C67E35" w:rsidRDefault="00C67E35" w:rsidP="00C67E35">
      <w:pPr>
        <w:tabs>
          <w:tab w:val="left" w:pos="540"/>
          <w:tab w:val="left" w:pos="900"/>
        </w:tabs>
      </w:pPr>
      <w:r w:rsidRPr="00B07063">
        <w:rPr>
          <w:b/>
        </w:rPr>
        <w:lastRenderedPageBreak/>
        <w:t>PPP Loans:</w:t>
      </w:r>
      <w:r>
        <w:rPr>
          <w:b/>
        </w:rPr>
        <w:t xml:space="preserve">  </w:t>
      </w:r>
      <w:r w:rsidRPr="00B85768">
        <w:rPr>
          <w:b/>
        </w:rPr>
        <w:t xml:space="preserve">Amount of Tax-Free Cancellation.  </w:t>
      </w:r>
      <w:r w:rsidRPr="00E86F43">
        <w:t>No doubt the key feature of PPP loans is that borrowers may never have to repay</w:t>
      </w:r>
      <w:r>
        <w:t xml:space="preserve"> their loans</w:t>
      </w:r>
      <w:r w:rsidRPr="00E86F43">
        <w:t xml:space="preserve">.  The SBA generally forgives PPP loans if employers keep their employees on the payroll for eight weeks and the loan proceeds are used for authorized expenses.  These expenses include not only the costs of payroll, but also those for rent, mortgage interest, or utilities.  </w:t>
      </w:r>
      <w:r>
        <w:t>Moreover</w:t>
      </w:r>
      <w:r w:rsidRPr="00E86F43">
        <w:t>, as noted above, the debt forgiveness is not treated as taxable income to the employer (Act §1106(</w:t>
      </w:r>
      <w:proofErr w:type="spellStart"/>
      <w:r w:rsidRPr="00E86F43">
        <w:t>i</w:t>
      </w:r>
      <w:proofErr w:type="spellEnd"/>
      <w:r w:rsidRPr="00E86F43">
        <w:t>))</w:t>
      </w:r>
      <w:r>
        <w:t xml:space="preserve"> and ARPA makes the expenses deductible!</w:t>
      </w:r>
    </w:p>
    <w:p w14:paraId="3C4F1DED" w14:textId="77777777" w:rsidR="00C67E35" w:rsidRDefault="00C67E35" w:rsidP="00C67E35">
      <w:pPr>
        <w:tabs>
          <w:tab w:val="left" w:pos="540"/>
          <w:tab w:val="left" w:pos="900"/>
        </w:tabs>
      </w:pPr>
    </w:p>
    <w:p w14:paraId="423BDE18" w14:textId="77777777" w:rsidR="00C67E35" w:rsidRDefault="00C67E35" w:rsidP="00C67E35">
      <w:pPr>
        <w:tabs>
          <w:tab w:val="left" w:pos="540"/>
          <w:tab w:val="left" w:pos="900"/>
        </w:tabs>
      </w:pPr>
      <w:r w:rsidRPr="00E86F43">
        <w:t>Technically, a business (an “eligible recipient”) that seeks forgiveness of the PPP loan must be able to verify that the amount of the loan for which forgiveness is requested “was used to retain employees, make interest payments on a covered mortgage obligation, make payments on a covered lease obligation or to make covered utility payments.” (Act §1106(e)).  If the business fails to meet these standards, the business must repay the loan.  In that regard, the loan has a modest interest rate of 1% and a maturity of 2 years. (Act §1106(d)(2))</w:t>
      </w:r>
      <w:r>
        <w:t>.</w:t>
      </w:r>
    </w:p>
    <w:p w14:paraId="0DC42620" w14:textId="77777777" w:rsidR="00C67E35" w:rsidRDefault="00C67E35" w:rsidP="00C67E35">
      <w:pPr>
        <w:tabs>
          <w:tab w:val="left" w:pos="540"/>
          <w:tab w:val="left" w:pos="900"/>
        </w:tabs>
      </w:pPr>
    </w:p>
    <w:p w14:paraId="38F74037" w14:textId="77777777" w:rsidR="00C67E35" w:rsidRPr="00E86F43" w:rsidRDefault="00C67E35" w:rsidP="00C67E35">
      <w:pPr>
        <w:rPr>
          <w:bCs/>
          <w:color w:val="000000"/>
          <w:szCs w:val="24"/>
        </w:rPr>
      </w:pPr>
      <w:r>
        <w:rPr>
          <w:bCs/>
          <w:color w:val="000000"/>
          <w:szCs w:val="24"/>
        </w:rPr>
        <w:t>The CARES Act</w:t>
      </w:r>
      <w:r w:rsidRPr="00E86F43">
        <w:rPr>
          <w:bCs/>
          <w:color w:val="000000"/>
          <w:szCs w:val="24"/>
        </w:rPr>
        <w:t xml:space="preserve"> provides that the amount of the PPP loan that is eligible for forgiveness is the sum of the certain “costs </w:t>
      </w:r>
      <w:proofErr w:type="gramStart"/>
      <w:r w:rsidRPr="00E86F43">
        <w:rPr>
          <w:bCs/>
          <w:color w:val="000000"/>
          <w:szCs w:val="24"/>
        </w:rPr>
        <w:t>incurred</w:t>
      </w:r>
      <w:proofErr w:type="gramEnd"/>
      <w:r w:rsidRPr="00E86F43">
        <w:rPr>
          <w:bCs/>
          <w:color w:val="000000"/>
          <w:szCs w:val="24"/>
        </w:rPr>
        <w:t xml:space="preserve"> and payments made” during the “covered period” (</w:t>
      </w:r>
      <w:r>
        <w:rPr>
          <w:bCs/>
          <w:color w:val="000000"/>
          <w:szCs w:val="24"/>
        </w:rPr>
        <w:t>the</w:t>
      </w:r>
      <w:r w:rsidRPr="00B702B0">
        <w:rPr>
          <w:bCs/>
          <w:color w:val="000000"/>
          <w:szCs w:val="24"/>
        </w:rPr>
        <w:t xml:space="preserve"> </w:t>
      </w:r>
      <w:r w:rsidRPr="00E86F43">
        <w:rPr>
          <w:bCs/>
          <w:color w:val="000000"/>
          <w:szCs w:val="24"/>
        </w:rPr>
        <w:t>8-week period beginning on the date a PPP loan originate</w:t>
      </w:r>
      <w:r>
        <w:rPr>
          <w:bCs/>
          <w:color w:val="000000"/>
          <w:szCs w:val="24"/>
        </w:rPr>
        <w:t>s</w:t>
      </w:r>
      <w:r w:rsidRPr="00E86F43">
        <w:rPr>
          <w:bCs/>
          <w:color w:val="000000"/>
          <w:szCs w:val="24"/>
        </w:rPr>
        <w:t xml:space="preserve">).  </w:t>
      </w:r>
      <w:r w:rsidRPr="00B702B0">
        <w:rPr>
          <w:bCs/>
          <w:color w:val="000000"/>
          <w:szCs w:val="24"/>
        </w:rPr>
        <w:t xml:space="preserve">However, some employers found it difficult to spend </w:t>
      </w:r>
      <w:proofErr w:type="gramStart"/>
      <w:r w:rsidRPr="00B702B0">
        <w:rPr>
          <w:bCs/>
          <w:color w:val="000000"/>
          <w:szCs w:val="24"/>
        </w:rPr>
        <w:t>all of</w:t>
      </w:r>
      <w:proofErr w:type="gramEnd"/>
      <w:r w:rsidRPr="00B702B0">
        <w:rPr>
          <w:bCs/>
          <w:color w:val="000000"/>
          <w:szCs w:val="24"/>
        </w:rPr>
        <w:t xml:space="preserve"> the proceeds on authorized expenses, thereby forfeiting the forgiveness privilege.  Importantly, the PPPFA extended the period for eligible payments to 24-weeks. </w:t>
      </w:r>
      <w:r w:rsidRPr="00E86F43">
        <w:rPr>
          <w:bCs/>
          <w:color w:val="000000"/>
          <w:szCs w:val="24"/>
        </w:rPr>
        <w:t>Qualifying costs include:</w:t>
      </w:r>
    </w:p>
    <w:p w14:paraId="0067465E" w14:textId="77777777" w:rsidR="00C67E35" w:rsidRPr="00E86F43" w:rsidRDefault="00C67E35" w:rsidP="00C67E35">
      <w:pPr>
        <w:numPr>
          <w:ilvl w:val="0"/>
          <w:numId w:val="17"/>
        </w:numPr>
        <w:overflowPunct/>
        <w:ind w:left="450"/>
        <w:contextualSpacing/>
        <w:textAlignment w:val="auto"/>
        <w:rPr>
          <w:bCs/>
          <w:color w:val="000000"/>
          <w:szCs w:val="24"/>
        </w:rPr>
      </w:pPr>
      <w:r w:rsidRPr="00E86F43">
        <w:rPr>
          <w:bCs/>
          <w:color w:val="000000"/>
          <w:szCs w:val="24"/>
        </w:rPr>
        <w:t xml:space="preserve">Payroll </w:t>
      </w:r>
      <w:proofErr w:type="gramStart"/>
      <w:r w:rsidRPr="00E86F43">
        <w:rPr>
          <w:bCs/>
          <w:color w:val="000000"/>
          <w:szCs w:val="24"/>
        </w:rPr>
        <w:t>costs;</w:t>
      </w:r>
      <w:proofErr w:type="gramEnd"/>
    </w:p>
    <w:p w14:paraId="15032319" w14:textId="77777777" w:rsidR="00C67E35" w:rsidRPr="00E86F43" w:rsidRDefault="00C67E35" w:rsidP="00C67E35">
      <w:pPr>
        <w:numPr>
          <w:ilvl w:val="0"/>
          <w:numId w:val="17"/>
        </w:numPr>
        <w:overflowPunct/>
        <w:ind w:left="450"/>
        <w:contextualSpacing/>
        <w:textAlignment w:val="auto"/>
        <w:rPr>
          <w:bCs/>
          <w:color w:val="000000"/>
          <w:szCs w:val="24"/>
        </w:rPr>
      </w:pPr>
      <w:r w:rsidRPr="00E86F43">
        <w:rPr>
          <w:bCs/>
          <w:color w:val="000000"/>
          <w:szCs w:val="24"/>
        </w:rPr>
        <w:t xml:space="preserve">Any payment of interest on any mortgage obligation (not including any prepayment of or payment of principal on a mortgage obligation) that was incurred before February 15, </w:t>
      </w:r>
      <w:proofErr w:type="gramStart"/>
      <w:r w:rsidRPr="00E86F43">
        <w:rPr>
          <w:bCs/>
          <w:color w:val="000000"/>
          <w:szCs w:val="24"/>
        </w:rPr>
        <w:t>2020;</w:t>
      </w:r>
      <w:proofErr w:type="gramEnd"/>
    </w:p>
    <w:p w14:paraId="34662A3C" w14:textId="77777777" w:rsidR="00C67E35" w:rsidRPr="00E86F43" w:rsidRDefault="00C67E35" w:rsidP="00C67E35">
      <w:pPr>
        <w:numPr>
          <w:ilvl w:val="0"/>
          <w:numId w:val="17"/>
        </w:numPr>
        <w:overflowPunct/>
        <w:ind w:left="450"/>
        <w:contextualSpacing/>
        <w:textAlignment w:val="auto"/>
        <w:rPr>
          <w:bCs/>
          <w:color w:val="000000"/>
          <w:szCs w:val="24"/>
        </w:rPr>
      </w:pPr>
      <w:r w:rsidRPr="00E86F43">
        <w:rPr>
          <w:bCs/>
          <w:color w:val="000000"/>
          <w:szCs w:val="24"/>
        </w:rPr>
        <w:t xml:space="preserve">Any payment of rent under a leasing agreement in force before February 15, </w:t>
      </w:r>
      <w:proofErr w:type="gramStart"/>
      <w:r w:rsidRPr="00E86F43">
        <w:rPr>
          <w:bCs/>
          <w:color w:val="000000"/>
          <w:szCs w:val="24"/>
        </w:rPr>
        <w:t>2020;</w:t>
      </w:r>
      <w:proofErr w:type="gramEnd"/>
    </w:p>
    <w:p w14:paraId="4E6F11D3" w14:textId="77777777" w:rsidR="00C67E35" w:rsidRPr="00E86F43" w:rsidRDefault="00C67E35" w:rsidP="00C67E35">
      <w:pPr>
        <w:numPr>
          <w:ilvl w:val="0"/>
          <w:numId w:val="17"/>
        </w:numPr>
        <w:overflowPunct/>
        <w:ind w:left="450"/>
        <w:contextualSpacing/>
        <w:textAlignment w:val="auto"/>
        <w:rPr>
          <w:bCs/>
          <w:color w:val="000000"/>
          <w:szCs w:val="24"/>
        </w:rPr>
      </w:pPr>
      <w:r w:rsidRPr="00E86F43">
        <w:rPr>
          <w:bCs/>
          <w:color w:val="000000"/>
          <w:szCs w:val="24"/>
        </w:rPr>
        <w:t>Any utility payment, including payment for distribution of electricity, gas, water, transportation, telephone, or internet access for which service began before February 15, 2020.</w:t>
      </w:r>
    </w:p>
    <w:p w14:paraId="160BA964" w14:textId="77777777" w:rsidR="00C67E35" w:rsidRPr="00E86F43" w:rsidRDefault="00C67E35" w:rsidP="00C67E35">
      <w:pPr>
        <w:tabs>
          <w:tab w:val="left" w:pos="540"/>
          <w:tab w:val="left" w:pos="900"/>
        </w:tabs>
        <w:rPr>
          <w:bCs/>
          <w:sz w:val="20"/>
        </w:rPr>
      </w:pPr>
    </w:p>
    <w:p w14:paraId="586E1DB8" w14:textId="77777777" w:rsidR="00C67E35" w:rsidRDefault="00C67E35" w:rsidP="00C67E35">
      <w:pPr>
        <w:tabs>
          <w:tab w:val="left" w:pos="270"/>
          <w:tab w:val="left" w:pos="900"/>
        </w:tabs>
      </w:pPr>
      <w:r>
        <w:rPr>
          <w:b/>
        </w:rPr>
        <w:t xml:space="preserve">PPP Loans: </w:t>
      </w:r>
      <w:r w:rsidRPr="008B0F34">
        <w:rPr>
          <w:b/>
        </w:rPr>
        <w:t>Loan Forgiveness Application</w:t>
      </w:r>
      <w:r>
        <w:rPr>
          <w:b/>
        </w:rPr>
        <w:t xml:space="preserve"> (Form 3508 Revised July 30, 2021) . </w:t>
      </w:r>
      <w:r>
        <w:t xml:space="preserve"> To compute the amount a borrower must repay, the borrower completes and submits Form 3508 PPP </w:t>
      </w:r>
      <w:r w:rsidRPr="00602180">
        <w:t>Loan Forgiveness Application</w:t>
      </w:r>
      <w:r>
        <w:t xml:space="preserve"> Form Revised July 30, </w:t>
      </w:r>
      <w:proofErr w:type="gramStart"/>
      <w:r>
        <w:t>2021</w:t>
      </w:r>
      <w:proofErr w:type="gramEnd"/>
      <w:r>
        <w:t xml:space="preserve"> </w:t>
      </w:r>
      <w:r w:rsidRPr="005C29DD">
        <w:t>to the banker or lender from</w:t>
      </w:r>
      <w:r>
        <w:t xml:space="preserve"> whom </w:t>
      </w:r>
      <w:r w:rsidRPr="005C29DD">
        <w:t xml:space="preserve">the loan </w:t>
      </w:r>
      <w:r>
        <w:t xml:space="preserve">was obtained </w:t>
      </w:r>
      <w:r w:rsidRPr="005C29DD">
        <w:t xml:space="preserve">(see </w:t>
      </w:r>
      <w:r>
        <w:t>below</w:t>
      </w:r>
      <w:r w:rsidRPr="005C29DD">
        <w:t>).  The borrower uses this form to compute the amount of the loan to be forgiven and, at the same time, how much must be repaid</w:t>
      </w:r>
      <w:r>
        <w:t>.</w:t>
      </w:r>
      <w:r w:rsidRPr="005C29DD">
        <w:t xml:space="preserve">  The loan application instructions contain </w:t>
      </w:r>
      <w:proofErr w:type="gramStart"/>
      <w:r w:rsidRPr="005C29DD">
        <w:t>a number of</w:t>
      </w:r>
      <w:proofErr w:type="gramEnd"/>
      <w:r w:rsidRPr="005C29DD">
        <w:t xml:space="preserve"> clarifications including, calculation of FTEs, rent, utility expenses, documentation and more</w:t>
      </w:r>
      <w:r>
        <w:t>.</w:t>
      </w:r>
    </w:p>
    <w:p w14:paraId="1377051F" w14:textId="77777777" w:rsidR="00C67E35" w:rsidRDefault="00C67E35" w:rsidP="00C67E35">
      <w:pPr>
        <w:tabs>
          <w:tab w:val="left" w:pos="540"/>
          <w:tab w:val="left" w:pos="900"/>
        </w:tabs>
        <w:rPr>
          <w:b/>
        </w:rPr>
      </w:pPr>
    </w:p>
    <w:p w14:paraId="580C319B" w14:textId="77777777" w:rsidR="00C67E35" w:rsidRDefault="00C67E35" w:rsidP="00C67E35">
      <w:pPr>
        <w:tabs>
          <w:tab w:val="left" w:pos="540"/>
          <w:tab w:val="left" w:pos="900"/>
        </w:tabs>
        <w:rPr>
          <w:b/>
        </w:rPr>
      </w:pPr>
    </w:p>
    <w:p w14:paraId="66D7DBC0" w14:textId="77777777" w:rsidR="00C67E35" w:rsidRDefault="00C67E35" w:rsidP="00C67E35">
      <w:pPr>
        <w:tabs>
          <w:tab w:val="left" w:pos="540"/>
          <w:tab w:val="left" w:pos="900"/>
        </w:tabs>
        <w:rPr>
          <w:b/>
          <w:szCs w:val="18"/>
        </w:rPr>
      </w:pPr>
      <w:r w:rsidRPr="005C607B">
        <w:rPr>
          <w:b/>
        </w:rPr>
        <w:t xml:space="preserve">PPP Loan Forgiveness Application Form Revised March 18, 2021.  See the form </w:t>
      </w:r>
      <w:r>
        <w:rPr>
          <w:b/>
        </w:rPr>
        <w:t>below</w:t>
      </w:r>
      <w:r w:rsidRPr="005C607B">
        <w:rPr>
          <w:b/>
        </w:rPr>
        <w:t xml:space="preserve"> and </w:t>
      </w:r>
      <w:r w:rsidRPr="001E7A4D">
        <w:rPr>
          <w:b/>
          <w:szCs w:val="18"/>
        </w:rPr>
        <w:t xml:space="preserve">at </w:t>
      </w:r>
      <w:hyperlink r:id="rId17" w:history="1">
        <w:r w:rsidRPr="000276B4">
          <w:rPr>
            <w:rStyle w:val="Hyperlink"/>
            <w:bCs/>
            <w:szCs w:val="18"/>
          </w:rPr>
          <w:t>https://www.sba.gov/sites/default/files/2021-07/PPP%20--%20Forgiveness%20Application%20and%20Instructions%20--%203508%20%287.30.2021%29-508.pdf</w:t>
        </w:r>
      </w:hyperlink>
      <w:r w:rsidRPr="001E7A4D">
        <w:rPr>
          <w:b/>
          <w:szCs w:val="18"/>
        </w:rPr>
        <w:t xml:space="preserve">  </w:t>
      </w:r>
    </w:p>
    <w:p w14:paraId="021649CB" w14:textId="77777777" w:rsidR="00C67E35" w:rsidRDefault="00C67E35" w:rsidP="00C67E35">
      <w:pPr>
        <w:tabs>
          <w:tab w:val="left" w:pos="540"/>
          <w:tab w:val="left" w:pos="900"/>
        </w:tabs>
        <w:rPr>
          <w:b/>
          <w:szCs w:val="18"/>
        </w:rPr>
      </w:pPr>
    </w:p>
    <w:p w14:paraId="23987208" w14:textId="77777777" w:rsidR="00446B7F" w:rsidRPr="00371EE1" w:rsidRDefault="00446B7F" w:rsidP="00446B7F">
      <w:pPr>
        <w:tabs>
          <w:tab w:val="left" w:pos="540"/>
          <w:tab w:val="left" w:pos="900"/>
        </w:tabs>
        <w:overflowPunct/>
        <w:autoSpaceDE/>
        <w:autoSpaceDN/>
        <w:adjustRightInd/>
        <w:textAlignment w:val="auto"/>
        <w:rPr>
          <w:bCs/>
          <w:highlight w:val="yellow"/>
        </w:rPr>
      </w:pPr>
    </w:p>
    <w:p w14:paraId="610C202B" w14:textId="5C8FB094" w:rsidR="00C67E35" w:rsidRDefault="00AB69F9" w:rsidP="00C67E35">
      <w:pPr>
        <w:overflowPunct/>
        <w:textAlignment w:val="auto"/>
      </w:pPr>
      <w:r w:rsidRPr="00371EE1">
        <w:rPr>
          <w:b/>
          <w:sz w:val="24"/>
          <w:highlight w:val="yellow"/>
        </w:rPr>
        <w:br w:type="column"/>
      </w:r>
      <w:r w:rsidR="00C67E35">
        <w:lastRenderedPageBreak/>
        <w:t xml:space="preserve"> </w:t>
      </w:r>
      <w:r w:rsidR="00C67E35">
        <w:rPr>
          <w:noProof/>
        </w:rPr>
        <w:drawing>
          <wp:inline distT="0" distB="0" distL="0" distR="0" wp14:anchorId="0F7614D4" wp14:editId="6785E2C5">
            <wp:extent cx="5866765" cy="8229600"/>
            <wp:effectExtent l="19050" t="19050" r="19685" b="1905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18"/>
                    <a:stretch>
                      <a:fillRect/>
                    </a:stretch>
                  </pic:blipFill>
                  <pic:spPr>
                    <a:xfrm>
                      <a:off x="0" y="0"/>
                      <a:ext cx="5913434" cy="8295065"/>
                    </a:xfrm>
                    <a:prstGeom prst="rect">
                      <a:avLst/>
                    </a:prstGeom>
                    <a:ln>
                      <a:solidFill>
                        <a:schemeClr val="accent1"/>
                      </a:solidFill>
                    </a:ln>
                  </pic:spPr>
                </pic:pic>
              </a:graphicData>
            </a:graphic>
          </wp:inline>
        </w:drawing>
      </w:r>
    </w:p>
    <w:p w14:paraId="657F594F" w14:textId="77777777" w:rsidR="00C67E35" w:rsidRPr="00F80C62" w:rsidRDefault="00AB69F9" w:rsidP="00C67E35">
      <w:pPr>
        <w:tabs>
          <w:tab w:val="left" w:pos="540"/>
          <w:tab w:val="left" w:pos="900"/>
        </w:tabs>
      </w:pPr>
      <w:r w:rsidRPr="00371EE1">
        <w:rPr>
          <w:sz w:val="24"/>
          <w:highlight w:val="yellow"/>
        </w:rPr>
        <w:br w:type="column"/>
      </w:r>
      <w:r w:rsidR="00C67E35" w:rsidRPr="00F80C62">
        <w:lastRenderedPageBreak/>
        <w:t>The Application</w:t>
      </w:r>
      <w:r w:rsidR="00C67E35">
        <w:t xml:space="preserve"> above (Form 3508)</w:t>
      </w:r>
      <w:r w:rsidR="00C67E35" w:rsidRPr="00F80C62">
        <w:t xml:space="preserve"> reflects </w:t>
      </w:r>
      <w:r w:rsidR="00C67E35">
        <w:t>the SBA’s</w:t>
      </w:r>
      <w:r w:rsidR="00C67E35" w:rsidRPr="00F80C62">
        <w:t xml:space="preserve"> three-step approach to compute the amount of forgiveness.  In effect, if 100% of the loan was used properly, 100% of the loan is cancelled.  To the extent that the loan was not used properly, the forgiveness is reduced proportionately, and repayment is required.  As noted earlier, cancellation of the debt is considered nontaxable</w:t>
      </w:r>
      <w:r w:rsidR="00C67E35">
        <w:t xml:space="preserve"> and, just as important, ARPA allows a deduction for the expenses paid by the loan proceeds</w:t>
      </w:r>
      <w:r w:rsidR="00C67E35" w:rsidRPr="00F80C62">
        <w:t>.  Completion of lines 1-1</w:t>
      </w:r>
      <w:r w:rsidR="00C67E35">
        <w:t>5</w:t>
      </w:r>
      <w:r w:rsidR="00C67E35" w:rsidRPr="00F80C62">
        <w:t xml:space="preserve"> and the accompanying schedules yields the amount that is forgiven.</w:t>
      </w:r>
    </w:p>
    <w:p w14:paraId="61922708" w14:textId="77777777" w:rsidR="00C67E35" w:rsidRPr="00F80C62" w:rsidRDefault="00C67E35" w:rsidP="00C67E35"/>
    <w:p w14:paraId="3EF036FF" w14:textId="77777777" w:rsidR="00C67E35" w:rsidRPr="00355E31" w:rsidRDefault="00C67E35" w:rsidP="00C67E35">
      <w:pPr>
        <w:rPr>
          <w:b/>
          <w:i/>
          <w:sz w:val="20"/>
          <w:szCs w:val="16"/>
        </w:rPr>
      </w:pPr>
      <w:r w:rsidRPr="00355E31">
        <w:rPr>
          <w:b/>
          <w:i/>
          <w:sz w:val="20"/>
          <w:szCs w:val="16"/>
        </w:rPr>
        <w:t xml:space="preserve">Computing the Potential Forgiveness Amount (Lines 1-8).  </w:t>
      </w:r>
    </w:p>
    <w:p w14:paraId="207AAD5B" w14:textId="77777777" w:rsidR="00C67E35" w:rsidRPr="00355E31" w:rsidRDefault="00C67E35" w:rsidP="00C67E35">
      <w:pPr>
        <w:rPr>
          <w:sz w:val="20"/>
          <w:szCs w:val="16"/>
        </w:rPr>
      </w:pPr>
      <w:r w:rsidRPr="00355E31">
        <w:rPr>
          <w:sz w:val="20"/>
          <w:szCs w:val="16"/>
        </w:rPr>
        <w:t xml:space="preserve">Consistent with the requirement that the loan must be used for certain expenses, the first step in completing the application is determining the total </w:t>
      </w:r>
      <w:r w:rsidRPr="00355E31">
        <w:rPr>
          <w:i/>
          <w:iCs/>
          <w:sz w:val="20"/>
          <w:szCs w:val="16"/>
        </w:rPr>
        <w:t>payroll and qualifying non-payroll costs</w:t>
      </w:r>
      <w:r w:rsidRPr="00355E31">
        <w:rPr>
          <w:sz w:val="20"/>
          <w:szCs w:val="16"/>
        </w:rPr>
        <w:t xml:space="preserve"> (e.g., interest, rent and utilities) (lines 1-8).  These include only such costs that the business has spent over the 8-week period since it received its PPP funds (extended to 24 weeks by the PPPFA).  The sum of these costs becomes part of the determination of the “potential forgiveness amount”  (lines 12-14). The final Forgiveness Amount is found on line 15.</w:t>
      </w:r>
    </w:p>
    <w:p w14:paraId="1D5931EF" w14:textId="77777777" w:rsidR="00C67E35" w:rsidRPr="00355E31" w:rsidRDefault="00C67E35" w:rsidP="00C67E35">
      <w:pPr>
        <w:rPr>
          <w:sz w:val="20"/>
          <w:szCs w:val="16"/>
        </w:rPr>
      </w:pPr>
    </w:p>
    <w:p w14:paraId="01DD684F" w14:textId="77777777" w:rsidR="00C67E35" w:rsidRPr="00355E31" w:rsidRDefault="00C67E35" w:rsidP="00C67E35">
      <w:pPr>
        <w:rPr>
          <w:b/>
          <w:i/>
          <w:sz w:val="20"/>
          <w:szCs w:val="16"/>
        </w:rPr>
      </w:pPr>
      <w:r w:rsidRPr="00355E31">
        <w:rPr>
          <w:b/>
          <w:i/>
          <w:sz w:val="20"/>
          <w:szCs w:val="16"/>
        </w:rPr>
        <w:t xml:space="preserve">Reduction for Cutting Employees and Salary Cuts (Line 5). </w:t>
      </w:r>
    </w:p>
    <w:p w14:paraId="25F740F2" w14:textId="77777777" w:rsidR="00C67E35" w:rsidRPr="00355E31" w:rsidRDefault="00C67E35" w:rsidP="00C67E35">
      <w:pPr>
        <w:rPr>
          <w:sz w:val="20"/>
          <w:szCs w:val="16"/>
        </w:rPr>
      </w:pPr>
      <w:r w:rsidRPr="00355E31">
        <w:rPr>
          <w:sz w:val="20"/>
          <w:szCs w:val="16"/>
        </w:rPr>
        <w:t>This tentative forgiveness amount is then adjusted to the extent the employer lays off workers or cuts salaries (line 5).  The tentative amount to be forgiven is reduced if the employer (1) reduced the pay for returning employees more than 25% or (2) failed to bring back the same number of full-time equivalent employees (FTEs) that it had before the pandemic. The application waives this reduction if the business later brought back the same number of employees by June 30, 2020 (extended to December 31 by the PPPFA).  Adjustments are allowed for employees that declined to return to their jobs.  The result is the “Potential Forgiveness Amounts (lines 12-14).”</w:t>
      </w:r>
      <w:r w:rsidRPr="00355E31">
        <w:rPr>
          <w:sz w:val="20"/>
          <w:szCs w:val="16"/>
        </w:rPr>
        <w:tab/>
      </w:r>
    </w:p>
    <w:p w14:paraId="198337C5" w14:textId="77777777" w:rsidR="00C67E35" w:rsidRPr="00355E31" w:rsidRDefault="00C67E35" w:rsidP="00C67E35">
      <w:pPr>
        <w:rPr>
          <w:sz w:val="20"/>
          <w:szCs w:val="16"/>
        </w:rPr>
      </w:pPr>
    </w:p>
    <w:p w14:paraId="59FF3F5B" w14:textId="77777777" w:rsidR="00C67E35" w:rsidRPr="00355E31" w:rsidRDefault="00C67E35" w:rsidP="00C67E35">
      <w:pPr>
        <w:rPr>
          <w:b/>
          <w:i/>
          <w:sz w:val="20"/>
          <w:szCs w:val="16"/>
        </w:rPr>
      </w:pPr>
      <w:r w:rsidRPr="00355E31">
        <w:rPr>
          <w:b/>
          <w:i/>
          <w:sz w:val="20"/>
          <w:szCs w:val="16"/>
        </w:rPr>
        <w:t xml:space="preserve">Reduction for Cutting Payroll (Line 8 -10).  </w:t>
      </w:r>
    </w:p>
    <w:p w14:paraId="302E6824" w14:textId="77777777" w:rsidR="00C67E35" w:rsidRPr="00355E31" w:rsidRDefault="00C67E35" w:rsidP="00C67E35">
      <w:pPr>
        <w:tabs>
          <w:tab w:val="left" w:pos="270"/>
          <w:tab w:val="left" w:pos="900"/>
        </w:tabs>
        <w:rPr>
          <w:sz w:val="20"/>
          <w:szCs w:val="16"/>
        </w:rPr>
      </w:pPr>
      <w:r w:rsidRPr="00355E31">
        <w:rPr>
          <w:sz w:val="20"/>
          <w:szCs w:val="16"/>
        </w:rPr>
        <w:t xml:space="preserve">The third and final step ensures that 75% of loan forgiveness is attributable to payroll costs.  To illustrate, assume a business had a PPP loan of $100,000.  It secures total forgiveness if it used $75,000 for payroll.  However, its actual payroll costs were $70,000 and eligible non-payroll costs were $30,000.  In such case, the payroll costs are only 70% of the $100,000 total and do not meet the 75% rule.  Thus, the $30,000 in non-payroll costs are reduced so that payroll costs are 75% of the amount forgiven.  As a result, the maximum forgiveness is $93,333 ($70,000/75% = $93,333).  This calculation effectively trims the non-payroll costs from $30,000 to $23,333 such that the forgiveness request of $93,333 consists of 75% payroll costs ($70,000) and 25% non-payroll costs ($23,333). </w:t>
      </w:r>
    </w:p>
    <w:p w14:paraId="7F5DFDFF" w14:textId="77777777" w:rsidR="00C67E35" w:rsidRPr="00355E31" w:rsidRDefault="00C67E35" w:rsidP="00C67E35">
      <w:pPr>
        <w:rPr>
          <w:b/>
          <w:bCs/>
          <w:sz w:val="20"/>
          <w:szCs w:val="16"/>
        </w:rPr>
      </w:pPr>
    </w:p>
    <w:p w14:paraId="53E6266F" w14:textId="77777777" w:rsidR="00C67E35" w:rsidRPr="00355E31" w:rsidRDefault="00C67E35" w:rsidP="00C67E35">
      <w:pPr>
        <w:rPr>
          <w:bCs/>
          <w:szCs w:val="18"/>
        </w:rPr>
      </w:pPr>
      <w:r w:rsidRPr="00355E31">
        <w:rPr>
          <w:b/>
          <w:bCs/>
          <w:szCs w:val="18"/>
        </w:rPr>
        <w:t>Example 7</w:t>
      </w:r>
      <w:r w:rsidRPr="00355E31">
        <w:rPr>
          <w:bCs/>
          <w:szCs w:val="18"/>
        </w:rPr>
        <w:t xml:space="preserve">.  KWL Inc., a C corporation, has payroll costs over the prior 12-month period of $240,000.  Its average monthly payroll is $20,000 ($240,000/12).  The maximum loan amount is 2.5 times the average monthly payroll or $50,000 ($20,000 by 2.5).  The company applied and received a loan of $50,000.  For the 8-week period after it received the loan, the company uses $40,000 for payroll costs, $9,000 for rent and $2,000 on utilities for total qualifying expenses of $51,000. In this case, the company has qualifying expenses of $51,000 (including payroll costs that exceed 75% of the loan) that exceed the $50,000 loan.  Consequently, the entire loan is forgiven.  In addition, the debt forgiveness in this case is nontaxable. </w:t>
      </w:r>
    </w:p>
    <w:p w14:paraId="3F5D4179" w14:textId="77777777" w:rsidR="00C67E35" w:rsidRPr="00355E31" w:rsidRDefault="00C67E35" w:rsidP="00C67E35">
      <w:pPr>
        <w:rPr>
          <w:bCs/>
          <w:szCs w:val="18"/>
        </w:rPr>
      </w:pPr>
    </w:p>
    <w:p w14:paraId="77A58DEE" w14:textId="77777777" w:rsidR="00C67E35" w:rsidRPr="00355E31" w:rsidRDefault="00C67E35" w:rsidP="00C67E35">
      <w:pPr>
        <w:rPr>
          <w:bCs/>
          <w:szCs w:val="18"/>
        </w:rPr>
      </w:pPr>
      <w:r w:rsidRPr="00355E31">
        <w:rPr>
          <w:b/>
          <w:szCs w:val="18"/>
        </w:rPr>
        <w:t xml:space="preserve">Example 8.  </w:t>
      </w:r>
      <w:r w:rsidRPr="00355E31">
        <w:rPr>
          <w:bCs/>
          <w:szCs w:val="18"/>
        </w:rPr>
        <w:t xml:space="preserve">Same facts as Example 7 above.  KWL borrowed $125,000 but incurred only $100,000 in payroll costs (80% of the loan amount), mortgage interest, and utility payments during the </w:t>
      </w:r>
      <w:proofErr w:type="gramStart"/>
      <w:r w:rsidRPr="00355E31">
        <w:rPr>
          <w:bCs/>
          <w:szCs w:val="18"/>
        </w:rPr>
        <w:t>8 week</w:t>
      </w:r>
      <w:proofErr w:type="gramEnd"/>
      <w:r w:rsidRPr="00355E31">
        <w:rPr>
          <w:bCs/>
          <w:szCs w:val="18"/>
        </w:rPr>
        <w:t xml:space="preserve"> period after the loan origination date.  The business is eligible to have only $100,000 of the $125,000 loan forgiven.  The forgiveness of $100,000 of the debt does not result in any COD income for tax purposes.  Payments on the remaining $25,000 of the loan will not be due for two years.  The interest rate on the $25,000 loan remaining cannot exceed 1% annually.</w:t>
      </w:r>
    </w:p>
    <w:p w14:paraId="2542CE89" w14:textId="77777777" w:rsidR="00C67E35" w:rsidRPr="00355E31" w:rsidRDefault="00C67E35" w:rsidP="00C67E35">
      <w:pPr>
        <w:rPr>
          <w:b/>
        </w:rPr>
      </w:pPr>
    </w:p>
    <w:p w14:paraId="0EFA26FA" w14:textId="77777777" w:rsidR="00C67E35" w:rsidRPr="00355E31" w:rsidRDefault="00C67E35" w:rsidP="00C67E35">
      <w:pPr>
        <w:rPr>
          <w:bCs/>
          <w:szCs w:val="18"/>
        </w:rPr>
      </w:pPr>
      <w:r w:rsidRPr="00355E31">
        <w:rPr>
          <w:b/>
          <w:bCs/>
          <w:szCs w:val="18"/>
        </w:rPr>
        <w:t xml:space="preserve">Example 9.  </w:t>
      </w:r>
      <w:r w:rsidRPr="00355E31">
        <w:rPr>
          <w:bCs/>
          <w:szCs w:val="18"/>
        </w:rPr>
        <w:t>Same facts as in Example 8 above.  If the employer reduced its average workforce during the covered period, the amount of forgiveness is reduced.  For example, if the employer employed 80 employees during the covered period and when it normally employed 100, only 80% of the loan would be forgiven.  A special calculation is used to determine the average number of employees (Act § 1106(d)(2)(B)).</w:t>
      </w:r>
    </w:p>
    <w:p w14:paraId="2DB60A0E" w14:textId="77777777" w:rsidR="00C67E35" w:rsidRPr="00355E31" w:rsidRDefault="00C67E35" w:rsidP="00C67E35">
      <w:pPr>
        <w:rPr>
          <w:b/>
          <w:bCs/>
        </w:rPr>
      </w:pPr>
    </w:p>
    <w:p w14:paraId="5444D02A" w14:textId="3BAC8EA2" w:rsidR="00A01C5A" w:rsidRPr="00371EE1" w:rsidRDefault="00A01C5A" w:rsidP="00C67E35">
      <w:pPr>
        <w:tabs>
          <w:tab w:val="left" w:pos="540"/>
          <w:tab w:val="left" w:pos="900"/>
        </w:tabs>
        <w:rPr>
          <w:bCs/>
          <w:sz w:val="24"/>
          <w:highlight w:val="yellow"/>
        </w:rPr>
      </w:pPr>
    </w:p>
    <w:p w14:paraId="25BC2722" w14:textId="77777777" w:rsidR="00C67E35" w:rsidRPr="00E86F43" w:rsidRDefault="00C67E35" w:rsidP="00C67E35">
      <w:pPr>
        <w:rPr>
          <w:bCs/>
        </w:rPr>
      </w:pPr>
      <w:r w:rsidRPr="00E86F43">
        <w:rPr>
          <w:b/>
          <w:bCs/>
        </w:rPr>
        <w:lastRenderedPageBreak/>
        <w:t xml:space="preserve">PPP Loan Fraud.  </w:t>
      </w:r>
      <w:r w:rsidRPr="00E86F43">
        <w:rPr>
          <w:bCs/>
        </w:rPr>
        <w:t>As many predicted, the Paycheck Protection Program would be an easy target for crooks.  For those who were willing to risk going to jail, all they had to do was find a lender who would fund their PPP loan application and voila, free money.  For the most part, the lender had no risk since the loan was backed by the federal government.  Lenders were guaranteed that they would be repaid one way or another.  However, the SBA recognized the problem early on and issued warnings, promising that it would bring enforcement actions against any engaged in fraud.  It didn’t take long. Here are a few examples.</w:t>
      </w:r>
    </w:p>
    <w:p w14:paraId="3E3617DF" w14:textId="77777777" w:rsidR="00C67E35" w:rsidRPr="00E86F43" w:rsidRDefault="00C67E35" w:rsidP="00C67E35">
      <w:pPr>
        <w:rPr>
          <w:bCs/>
        </w:rPr>
      </w:pPr>
    </w:p>
    <w:p w14:paraId="3C3E9BA8" w14:textId="77777777" w:rsidR="00C67E35" w:rsidRPr="00E86F43" w:rsidRDefault="00C67E35" w:rsidP="00C67E35">
      <w:pPr>
        <w:numPr>
          <w:ilvl w:val="0"/>
          <w:numId w:val="20"/>
        </w:numPr>
        <w:overflowPunct/>
        <w:autoSpaceDE/>
        <w:autoSpaceDN/>
        <w:adjustRightInd/>
        <w:ind w:left="360"/>
        <w:contextualSpacing/>
        <w:textAlignment w:val="auto"/>
        <w:rPr>
          <w:bCs/>
        </w:rPr>
      </w:pPr>
      <w:r w:rsidRPr="00E86F43">
        <w:rPr>
          <w:bCs/>
        </w:rPr>
        <w:t xml:space="preserve">May 5, 2020: the Criminal Division of the Department of Justice brought the first (of what appears to be many) charges against suspects who made fraudulent loan requests of over $500,000. (See Kelly Phillips </w:t>
      </w:r>
      <w:proofErr w:type="spellStart"/>
      <w:r w:rsidRPr="00E86F43">
        <w:rPr>
          <w:bCs/>
        </w:rPr>
        <w:t>Erb</w:t>
      </w:r>
      <w:proofErr w:type="spellEnd"/>
      <w:r w:rsidRPr="00E86F43">
        <w:rPr>
          <w:bCs/>
        </w:rPr>
        <w:t xml:space="preserve">, </w:t>
      </w:r>
      <w:r w:rsidRPr="00E86F43">
        <w:t xml:space="preserve">"Feds Announce First Arrests </w:t>
      </w:r>
      <w:proofErr w:type="gramStart"/>
      <w:r w:rsidRPr="00E86F43">
        <w:t>In</w:t>
      </w:r>
      <w:proofErr w:type="gramEnd"/>
      <w:r w:rsidRPr="00E86F43">
        <w:t xml:space="preserve"> Country Linked To PPP Loan Fraud." </w:t>
      </w:r>
      <w:r w:rsidRPr="00E86F43">
        <w:rPr>
          <w:i/>
        </w:rPr>
        <w:t>Forbes</w:t>
      </w:r>
      <w:r w:rsidRPr="00E86F43">
        <w:t xml:space="preserve">, May 10, 2020 </w:t>
      </w:r>
      <w:hyperlink r:id="rId19" w:anchor="17149dcd59de" w:history="1">
        <w:r w:rsidRPr="00E86F43">
          <w:rPr>
            <w:color w:val="0000FF"/>
            <w:sz w:val="18"/>
            <w:szCs w:val="18"/>
            <w:u w:val="single"/>
          </w:rPr>
          <w:t>https://www.forbes.com/sites/kellyphillipserb/2020/05/10/feds-announce-first-arrests-in-country-linked-to-ppp-loan-fraud/#17149dcd59de</w:t>
        </w:r>
      </w:hyperlink>
      <w:r w:rsidRPr="00E86F43">
        <w:rPr>
          <w:sz w:val="18"/>
          <w:szCs w:val="18"/>
        </w:rPr>
        <w:t>).</w:t>
      </w:r>
      <w:r w:rsidRPr="00E86F43">
        <w:t xml:space="preserve"> </w:t>
      </w:r>
    </w:p>
    <w:p w14:paraId="48E6471C" w14:textId="77777777" w:rsidR="00C67E35" w:rsidRPr="00E86F43" w:rsidRDefault="00C67E35" w:rsidP="00C67E35">
      <w:pPr>
        <w:ind w:left="360"/>
        <w:contextualSpacing/>
        <w:rPr>
          <w:bCs/>
        </w:rPr>
      </w:pPr>
    </w:p>
    <w:p w14:paraId="4542D729" w14:textId="77777777" w:rsidR="00C67E35" w:rsidRPr="00E86F43" w:rsidRDefault="00C67E35" w:rsidP="00C67E35">
      <w:pPr>
        <w:numPr>
          <w:ilvl w:val="0"/>
          <w:numId w:val="20"/>
        </w:numPr>
        <w:overflowPunct/>
        <w:autoSpaceDE/>
        <w:autoSpaceDN/>
        <w:adjustRightInd/>
        <w:ind w:left="360"/>
        <w:contextualSpacing/>
        <w:textAlignment w:val="auto"/>
        <w:rPr>
          <w:bCs/>
        </w:rPr>
      </w:pPr>
      <w:r w:rsidRPr="00E86F43">
        <w:rPr>
          <w:bCs/>
        </w:rPr>
        <w:t xml:space="preserve">May 13, 2020: Federal prosecutors struck again, charging a sole proprietor of a Texas business with “wire fraud, bank fraud, false statements to a financial institution, and false statements to the SBA.”  Apparently, the proprietor “allegedly sought $10 million in PPP loan proceeds by fraudulently claiming to have 250 employees with an average monthly payroll of $4 million.” In </w:t>
      </w:r>
      <w:proofErr w:type="gramStart"/>
      <w:r w:rsidRPr="00E86F43">
        <w:rPr>
          <w:bCs/>
        </w:rPr>
        <w:t>addition</w:t>
      </w:r>
      <w:proofErr w:type="gramEnd"/>
      <w:r w:rsidRPr="00E86F43">
        <w:rPr>
          <w:bCs/>
        </w:rPr>
        <w:t xml:space="preserve"> he “sought approximately $3 million in PPP loan proceeds by fraudulently claiming to have 250 employees with an average monthly payroll of approximately $1.2 million.”  However, the Texas Workforce Commission had no records of employee wages paid in 2020 by the accused or his business. (See Bruce </w:t>
      </w:r>
      <w:proofErr w:type="spellStart"/>
      <w:r w:rsidRPr="00E86F43">
        <w:rPr>
          <w:bCs/>
        </w:rPr>
        <w:t>Brumberg</w:t>
      </w:r>
      <w:proofErr w:type="spellEnd"/>
      <w:r w:rsidRPr="00E86F43">
        <w:rPr>
          <w:bCs/>
        </w:rPr>
        <w:t xml:space="preserve">, “Federal Charges </w:t>
      </w:r>
      <w:proofErr w:type="gramStart"/>
      <w:r w:rsidRPr="00E86F43">
        <w:rPr>
          <w:bCs/>
        </w:rPr>
        <w:t>Of</w:t>
      </w:r>
      <w:proofErr w:type="gramEnd"/>
      <w:r w:rsidRPr="00E86F43">
        <w:rPr>
          <w:bCs/>
        </w:rPr>
        <w:t xml:space="preserve"> PPP Loan Fraud Are Here To Remind You These Loans Are Not “Free Money.” Forbes, May 14, 2020</w:t>
      </w:r>
      <w:r w:rsidRPr="00E86F43">
        <w:t xml:space="preserve"> </w:t>
      </w:r>
      <w:hyperlink r:id="rId20" w:anchor="3bdeecaded53" w:history="1">
        <w:r w:rsidRPr="00E86F43">
          <w:rPr>
            <w:color w:val="0000FF"/>
            <w:sz w:val="18"/>
            <w:u w:val="single"/>
          </w:rPr>
          <w:t>https://www.forbes.com/sites/brucebrumberg/2020/05/14/federal-charges-of-ppp-loan-fraud-are-here-to-remind-you-these-loans-are-not-free-money/#3bdeecaded53</w:t>
        </w:r>
      </w:hyperlink>
      <w:r w:rsidRPr="00E86F43">
        <w:rPr>
          <w:sz w:val="18"/>
        </w:rPr>
        <w:t>).</w:t>
      </w:r>
    </w:p>
    <w:p w14:paraId="30451F81" w14:textId="77777777" w:rsidR="00C67E35" w:rsidRPr="00E86F43" w:rsidRDefault="00C67E35" w:rsidP="00C67E35">
      <w:pPr>
        <w:ind w:left="360"/>
        <w:contextualSpacing/>
        <w:rPr>
          <w:bCs/>
        </w:rPr>
      </w:pPr>
    </w:p>
    <w:p w14:paraId="66D66902" w14:textId="77777777" w:rsidR="00C67E35" w:rsidRPr="00E86F43" w:rsidRDefault="00C67E35" w:rsidP="00C67E35">
      <w:pPr>
        <w:numPr>
          <w:ilvl w:val="0"/>
          <w:numId w:val="21"/>
        </w:numPr>
        <w:shd w:val="clear" w:color="auto" w:fill="FFFFFF"/>
        <w:overflowPunct/>
        <w:autoSpaceDE/>
        <w:autoSpaceDN/>
        <w:adjustRightInd/>
        <w:spacing w:before="100" w:beforeAutospacing="1" w:after="100" w:afterAutospacing="1"/>
        <w:contextualSpacing/>
        <w:textAlignment w:val="auto"/>
        <w:rPr>
          <w:bCs/>
        </w:rPr>
      </w:pPr>
      <w:r w:rsidRPr="00E86F43">
        <w:rPr>
          <w:bCs/>
        </w:rPr>
        <w:t xml:space="preserve">May 21, 2020:  Charges were brought against a Chinese national with trying to fraudulently obtain $20 million in PPP loans.  According to numerous reports, Mr. </w:t>
      </w:r>
      <w:proofErr w:type="spellStart"/>
      <w:r w:rsidRPr="00E86F43">
        <w:rPr>
          <w:bCs/>
        </w:rPr>
        <w:t>Muge</w:t>
      </w:r>
      <w:proofErr w:type="spellEnd"/>
      <w:r w:rsidRPr="00E86F43">
        <w:rPr>
          <w:bCs/>
        </w:rPr>
        <w:t xml:space="preserve"> Ma, a 36-year-old known as "Hummer Mars" residing in Manhattan, allegedly presented applications to five banks saying he had two companies with hundreds of employees who needed help.  Ma represented himself and one of his companies as a test-kit manufacturer for COVID-19 and a medical supplier, neither of which were true, prosecutors said. The bulk of the loans which were approved before the fraud was found were frozen by investigators before Ma could receive them.</w:t>
      </w:r>
    </w:p>
    <w:p w14:paraId="4A876710" w14:textId="77777777" w:rsidR="00C67E35" w:rsidRDefault="00C67E35" w:rsidP="00C67E35">
      <w:pPr>
        <w:rPr>
          <w:bCs/>
        </w:rPr>
      </w:pPr>
    </w:p>
    <w:p w14:paraId="4789BBE3" w14:textId="77777777" w:rsidR="00C67E35" w:rsidRPr="00E86F43" w:rsidRDefault="00C67E35" w:rsidP="00C67E35">
      <w:pPr>
        <w:rPr>
          <w:bCs/>
        </w:rPr>
      </w:pPr>
      <w:r w:rsidRPr="00E86F43">
        <w:rPr>
          <w:bCs/>
        </w:rPr>
        <w:t xml:space="preserve">Given how quickly the program was rolled out, there </w:t>
      </w:r>
      <w:r>
        <w:rPr>
          <w:bCs/>
        </w:rPr>
        <w:t>were</w:t>
      </w:r>
      <w:r w:rsidRPr="00E86F43">
        <w:rPr>
          <w:bCs/>
        </w:rPr>
        <w:t xml:space="preserve"> those who inadvertently did not follow the rules.  Unfortunately, these businesses will find themselves trying to distinguish their legitimate claims from those who have committed actual fraud. </w:t>
      </w:r>
    </w:p>
    <w:p w14:paraId="4C55D37D" w14:textId="65648757" w:rsidR="00C67E35" w:rsidRPr="00B85768" w:rsidRDefault="00C67E35" w:rsidP="00DF3391">
      <w:pPr>
        <w:overflowPunct/>
        <w:textAlignment w:val="auto"/>
        <w:rPr>
          <w:bCs/>
        </w:rPr>
      </w:pPr>
      <w:r>
        <w:rPr>
          <w:b/>
          <w:sz w:val="24"/>
          <w:highlight w:val="yellow"/>
        </w:rPr>
        <w:br w:type="column"/>
      </w:r>
      <w:r w:rsidRPr="00FF5E9E">
        <w:rPr>
          <w:b/>
        </w:rPr>
        <w:lastRenderedPageBreak/>
        <w:t xml:space="preserve">PPP Loans: Payroll Costs for Self Employed Individuals and Partners in General.  </w:t>
      </w:r>
      <w:r>
        <w:t>T</w:t>
      </w:r>
      <w:r w:rsidRPr="00B85768">
        <w:t xml:space="preserve">axpayers can get a PPP loan equal to 250% of their average monthly payroll costs.  Payroll costs generally include wages and salary and other benefits up to $100,000 per employee.  </w:t>
      </w:r>
      <w:r w:rsidRPr="00B85768">
        <w:rPr>
          <w:bCs/>
        </w:rPr>
        <w:t>However, self-employed individuals (sole proprietorships) and partners in partnerships do not receive wages or salaries or a “paycheck” in the normal sense.  Consequently, the computation of their payroll cost is a bit different.  On April 14, 2020, the SBA issued guidance on how the maximum PPP loans for self-employed individuals and partners are to be computed.</w:t>
      </w:r>
    </w:p>
    <w:p w14:paraId="139F3D3A" w14:textId="77777777" w:rsidR="00C67E35" w:rsidRPr="00BF277A" w:rsidRDefault="00C67E35" w:rsidP="00C67E35"/>
    <w:p w14:paraId="5EFC933D" w14:textId="77777777" w:rsidR="00C67E35" w:rsidRPr="00BF277A" w:rsidRDefault="00C67E35" w:rsidP="00C67E35">
      <w:r w:rsidRPr="00E86F43">
        <w:rPr>
          <w:b/>
          <w:i/>
        </w:rPr>
        <w:t xml:space="preserve">Payroll Costs for Self-Employed </w:t>
      </w:r>
      <w:r>
        <w:rPr>
          <w:b/>
          <w:i/>
        </w:rPr>
        <w:t>Individuals</w:t>
      </w:r>
      <w:r w:rsidRPr="00B85768">
        <w:rPr>
          <w:b/>
        </w:rPr>
        <w:t xml:space="preserve">.  </w:t>
      </w:r>
      <w:r w:rsidRPr="00B85768">
        <w:rPr>
          <w:bCs/>
        </w:rPr>
        <w:t xml:space="preserve"> </w:t>
      </w:r>
      <w:r>
        <w:rPr>
          <w:bCs/>
        </w:rPr>
        <w:t>In</w:t>
      </w:r>
      <w:r w:rsidRPr="00B85768">
        <w:rPr>
          <w:bCs/>
        </w:rPr>
        <w:t xml:space="preserve"> determining the maximum PPP loan that a self-employed person can obtain, the total payroll cost is the sum of two components</w:t>
      </w:r>
      <w:r>
        <w:rPr>
          <w:bCs/>
        </w:rPr>
        <w:t>:</w:t>
      </w:r>
      <w:r w:rsidRPr="00B85768">
        <w:rPr>
          <w:bCs/>
        </w:rPr>
        <w:br/>
      </w:r>
    </w:p>
    <w:p w14:paraId="1AA97BB4" w14:textId="77777777" w:rsidR="00C67E35" w:rsidRDefault="00C67E35" w:rsidP="00C67E35">
      <w:pPr>
        <w:ind w:left="360"/>
        <w:rPr>
          <w:bCs/>
        </w:rPr>
      </w:pPr>
      <w:r w:rsidRPr="00E86F43">
        <w:rPr>
          <w:bCs/>
        </w:rPr>
        <w:t>(1) Schedule C net income, not to exceed $100,000, and</w:t>
      </w:r>
    </w:p>
    <w:p w14:paraId="72FB7B7C" w14:textId="77777777" w:rsidR="00C67E35" w:rsidRPr="00E86F43" w:rsidRDefault="00C67E35" w:rsidP="00C67E35">
      <w:pPr>
        <w:ind w:left="360"/>
        <w:rPr>
          <w:bCs/>
        </w:rPr>
      </w:pPr>
    </w:p>
    <w:p w14:paraId="34BD2EBF" w14:textId="77777777" w:rsidR="00C67E35" w:rsidRPr="00E86F43" w:rsidRDefault="00C67E35" w:rsidP="00C67E35">
      <w:pPr>
        <w:ind w:left="360"/>
        <w:rPr>
          <w:bCs/>
        </w:rPr>
      </w:pPr>
      <w:r w:rsidRPr="00E86F43">
        <w:rPr>
          <w:bCs/>
        </w:rPr>
        <w:t>(2) Payroll costs for other employees</w:t>
      </w:r>
    </w:p>
    <w:p w14:paraId="58B7220A" w14:textId="77777777" w:rsidR="00C67E35" w:rsidRPr="00083B08" w:rsidRDefault="00C67E35" w:rsidP="00C67E35"/>
    <w:p w14:paraId="04A1AC82" w14:textId="77777777" w:rsidR="00C67E35" w:rsidRPr="00B85768" w:rsidRDefault="00C67E35" w:rsidP="00C67E35">
      <w:pPr>
        <w:rPr>
          <w:bCs/>
        </w:rPr>
      </w:pPr>
      <w:r w:rsidRPr="00B85768">
        <w:rPr>
          <w:bCs/>
        </w:rPr>
        <w:t>The computation is shown below.</w:t>
      </w:r>
    </w:p>
    <w:p w14:paraId="4963A6A8" w14:textId="77777777" w:rsidR="00C67E35" w:rsidRPr="00083B08" w:rsidRDefault="00C67E35" w:rsidP="00C67E35"/>
    <w:p w14:paraId="0EFD540D" w14:textId="77777777" w:rsidR="00C67E35" w:rsidRPr="00E86F43" w:rsidRDefault="00C67E35" w:rsidP="00C67E35">
      <w:pPr>
        <w:tabs>
          <w:tab w:val="left" w:pos="540"/>
          <w:tab w:val="center" w:pos="1620"/>
          <w:tab w:val="center" w:pos="3420"/>
          <w:tab w:val="center" w:pos="7380"/>
        </w:tabs>
        <w:ind w:left="180"/>
        <w:rPr>
          <w:bCs/>
          <w:u w:val="double"/>
        </w:rPr>
      </w:pPr>
      <w:r w:rsidRPr="00E86F43">
        <w:tab/>
      </w:r>
      <w:r w:rsidRPr="00E86F43">
        <w:rPr>
          <w:bCs/>
        </w:rPr>
        <w:t xml:space="preserve">Schedule C Income for 2019 </w:t>
      </w:r>
      <w:r w:rsidRPr="00E86F43">
        <w:rPr>
          <w:bCs/>
          <w:u w:val="single"/>
        </w:rPr>
        <w:t>&lt;</w:t>
      </w:r>
      <w:r w:rsidRPr="00E86F43">
        <w:rPr>
          <w:bCs/>
        </w:rPr>
        <w:t xml:space="preserve"> $100,000)/12  = Average monthly net profit</w:t>
      </w:r>
      <w:r w:rsidRPr="00E86F43">
        <w:rPr>
          <w:bCs/>
        </w:rPr>
        <w:br/>
      </w:r>
      <w:r w:rsidRPr="00E86F43">
        <w:rPr>
          <w:bCs/>
        </w:rPr>
        <w:tab/>
        <w:t>Outstanding amount of any disaster loan (EIDL) to be refinanced</w:t>
      </w:r>
      <w:r w:rsidRPr="00E86F43">
        <w:rPr>
          <w:bCs/>
        </w:rPr>
        <w:br/>
      </w:r>
      <w:r w:rsidRPr="00E86F43">
        <w:rPr>
          <w:bCs/>
          <w:u w:val="single"/>
        </w:rPr>
        <w:t>+</w:t>
      </w:r>
      <w:r w:rsidRPr="00E86F43">
        <w:rPr>
          <w:bCs/>
          <w:u w:val="single"/>
        </w:rPr>
        <w:tab/>
        <w:t>Payroll costs for other employees/12 = Average payroll cost</w:t>
      </w:r>
      <w:r w:rsidRPr="00E86F43">
        <w:rPr>
          <w:bCs/>
        </w:rPr>
        <w:br/>
        <w:t>=</w:t>
      </w:r>
      <w:r w:rsidRPr="00E86F43">
        <w:rPr>
          <w:bCs/>
        </w:rPr>
        <w:tab/>
        <w:t xml:space="preserve">Total payroll cost </w:t>
      </w:r>
      <w:r w:rsidRPr="00E86F43">
        <w:rPr>
          <w:bCs/>
        </w:rPr>
        <w:br/>
        <w:t>x</w:t>
      </w:r>
      <w:r w:rsidRPr="00E86F43">
        <w:rPr>
          <w:bCs/>
        </w:rPr>
        <w:tab/>
      </w:r>
      <w:r w:rsidRPr="00E86F43">
        <w:rPr>
          <w:bCs/>
          <w:u w:val="single"/>
        </w:rPr>
        <w:t xml:space="preserve">                                                                    250% or 2.5</w:t>
      </w:r>
      <w:r w:rsidRPr="00E86F43">
        <w:rPr>
          <w:bCs/>
        </w:rPr>
        <w:br/>
        <w:t>=</w:t>
      </w:r>
      <w:r w:rsidRPr="00E86F43">
        <w:rPr>
          <w:bCs/>
        </w:rPr>
        <w:tab/>
      </w:r>
      <w:r w:rsidRPr="00E86F43">
        <w:rPr>
          <w:bCs/>
          <w:u w:val="double"/>
        </w:rPr>
        <w:t>Maximum PPP Loan for self-employed</w:t>
      </w:r>
      <w:r w:rsidRPr="00E86F43">
        <w:rPr>
          <w:sz w:val="28"/>
        </w:rPr>
        <w:t xml:space="preserve"> </w:t>
      </w:r>
      <w:r w:rsidRPr="00E86F43">
        <w:rPr>
          <w:bCs/>
          <w:u w:val="double"/>
        </w:rPr>
        <w:t>person not to exceed $10 million</w:t>
      </w:r>
    </w:p>
    <w:p w14:paraId="278E221C" w14:textId="77777777" w:rsidR="00C67E35" w:rsidRPr="00083B08" w:rsidRDefault="00C67E35" w:rsidP="00C67E35"/>
    <w:p w14:paraId="12BF462B" w14:textId="77777777" w:rsidR="00C67E35" w:rsidRPr="00B85768" w:rsidRDefault="00C67E35" w:rsidP="00C67E35">
      <w:pPr>
        <w:rPr>
          <w:bCs/>
        </w:rPr>
      </w:pPr>
      <w:r w:rsidRPr="00B85768">
        <w:rPr>
          <w:bCs/>
        </w:rPr>
        <w:t xml:space="preserve">If a self-employed person does not have employees or a disaster loan outstanding, then the total annual payroll cost is simply the individual’s self-employment income reported on Schedule C.  </w:t>
      </w:r>
      <w:r>
        <w:rPr>
          <w:bCs/>
        </w:rPr>
        <w:t>Note</w:t>
      </w:r>
      <w:r w:rsidRPr="00B85768">
        <w:rPr>
          <w:bCs/>
        </w:rPr>
        <w:t xml:space="preserve"> that the annual limit in computing payroll costs for a self-employed person as well as an employee is $100,000 per person.</w:t>
      </w:r>
    </w:p>
    <w:p w14:paraId="4EF3A9B9" w14:textId="77777777" w:rsidR="00C67E35" w:rsidRPr="00083B08" w:rsidRDefault="00C67E35" w:rsidP="00C67E35"/>
    <w:p w14:paraId="74C310B2" w14:textId="77777777" w:rsidR="00C67E35" w:rsidRDefault="00C67E35" w:rsidP="00C67E35">
      <w:pPr>
        <w:rPr>
          <w:bCs/>
        </w:rPr>
      </w:pPr>
      <w:r w:rsidRPr="00B85768">
        <w:rPr>
          <w:b/>
          <w:bCs/>
        </w:rPr>
        <w:t xml:space="preserve">Example </w:t>
      </w:r>
      <w:r>
        <w:rPr>
          <w:b/>
          <w:bCs/>
        </w:rPr>
        <w:t>10</w:t>
      </w:r>
      <w:r w:rsidRPr="00B85768">
        <w:rPr>
          <w:b/>
          <w:bCs/>
        </w:rPr>
        <w:t xml:space="preserve">. </w:t>
      </w:r>
      <w:r w:rsidRPr="00B85768">
        <w:rPr>
          <w:bCs/>
        </w:rPr>
        <w:t xml:space="preserve">Sam Smart, a CPA, teaches continuing education tax courses for accounting firms </w:t>
      </w:r>
      <w:proofErr w:type="gramStart"/>
      <w:r w:rsidRPr="00B85768">
        <w:rPr>
          <w:bCs/>
        </w:rPr>
        <w:t>and also</w:t>
      </w:r>
      <w:proofErr w:type="gramEnd"/>
      <w:r w:rsidRPr="00B85768">
        <w:rPr>
          <w:bCs/>
        </w:rPr>
        <w:t xml:space="preserve"> holds his own workshops.  To make ends meet, he also drives for Uber and take</w:t>
      </w:r>
      <w:r>
        <w:rPr>
          <w:bCs/>
        </w:rPr>
        <w:t>s</w:t>
      </w:r>
      <w:r w:rsidRPr="00B85768">
        <w:rPr>
          <w:bCs/>
        </w:rPr>
        <w:t xml:space="preserve"> jobs from </w:t>
      </w:r>
      <w:proofErr w:type="spellStart"/>
      <w:r w:rsidRPr="00B85768">
        <w:rPr>
          <w:bCs/>
        </w:rPr>
        <w:t>Taskrabbit</w:t>
      </w:r>
      <w:proofErr w:type="spellEnd"/>
      <w:r w:rsidRPr="00B85768">
        <w:rPr>
          <w:bCs/>
        </w:rPr>
        <w:t xml:space="preserve">.  His net income shown on his Schedule C for 2019 was $96,000.  He has no employees so there are no additional payroll costs to be considered.  His maximum PPP loan is $20,000 [($96,000/12 = $8,000 average payroll cost) x 2.5)]. </w:t>
      </w:r>
    </w:p>
    <w:p w14:paraId="34445D29" w14:textId="5CA8F231" w:rsidR="00DF3391" w:rsidRPr="00B85768" w:rsidRDefault="00DF3391" w:rsidP="00DF3391">
      <w:pPr>
        <w:overflowPunct/>
        <w:textAlignment w:val="auto"/>
        <w:rPr>
          <w:bCs/>
        </w:rPr>
      </w:pPr>
      <w:r>
        <w:rPr>
          <w:b/>
          <w:sz w:val="24"/>
          <w:highlight w:val="yellow"/>
        </w:rPr>
        <w:br w:type="column"/>
      </w:r>
      <w:r w:rsidRPr="00E86F43">
        <w:rPr>
          <w:b/>
          <w:i/>
        </w:rPr>
        <w:lastRenderedPageBreak/>
        <w:t>Payroll Costs for Partners in Partnerships</w:t>
      </w:r>
      <w:r w:rsidRPr="00B85768">
        <w:rPr>
          <w:b/>
        </w:rPr>
        <w:t xml:space="preserve">.  </w:t>
      </w:r>
      <w:r w:rsidRPr="00B85768">
        <w:rPr>
          <w:bCs/>
        </w:rPr>
        <w:t>Unlike self-employed individuals, partners (including LLC members) do not apply for a loan individually.  The partnership makes the application.  For purposes of computing payroll costs for the partnership loan amount, the partnership includes (1) the net income of the partnership plus (2</w:t>
      </w:r>
      <w:r>
        <w:rPr>
          <w:bCs/>
        </w:rPr>
        <w:t xml:space="preserve">) </w:t>
      </w:r>
      <w:r w:rsidRPr="00B85768">
        <w:rPr>
          <w:bCs/>
        </w:rPr>
        <w:t>the payments made to the partners plus (</w:t>
      </w:r>
      <w:r>
        <w:rPr>
          <w:bCs/>
        </w:rPr>
        <w:t>3</w:t>
      </w:r>
      <w:r w:rsidRPr="00B85768">
        <w:rPr>
          <w:bCs/>
        </w:rPr>
        <w:t xml:space="preserve">) payroll costs for other employees.  For this purpose, payments to partners are included only if they are active participants in the business as evidenced by the </w:t>
      </w:r>
      <w:proofErr w:type="gramStart"/>
      <w:r w:rsidRPr="00B85768">
        <w:rPr>
          <w:bCs/>
        </w:rPr>
        <w:t>fact</w:t>
      </w:r>
      <w:proofErr w:type="gramEnd"/>
      <w:r w:rsidRPr="00B85768">
        <w:rPr>
          <w:bCs/>
        </w:rPr>
        <w:t xml:space="preserve"> they have self-employment income from the partnership as reported in Box 14 of their K-1.  Payments made to partners who are merely passive investors are not included in the calculation.  The computation of the PPP loan is shown below.</w:t>
      </w:r>
    </w:p>
    <w:p w14:paraId="3DB6B779" w14:textId="77777777" w:rsidR="00DF3391" w:rsidRPr="00083B08" w:rsidRDefault="00DF3391" w:rsidP="00DF3391"/>
    <w:p w14:paraId="25A98509" w14:textId="77777777" w:rsidR="00DF3391" w:rsidRPr="009D2A41" w:rsidRDefault="00DF3391" w:rsidP="00DF3391">
      <w:pPr>
        <w:tabs>
          <w:tab w:val="left" w:pos="270"/>
          <w:tab w:val="center" w:pos="1620"/>
          <w:tab w:val="center" w:pos="3420"/>
          <w:tab w:val="center" w:pos="7380"/>
        </w:tabs>
        <w:rPr>
          <w:bCs/>
          <w:u w:val="double"/>
        </w:rPr>
      </w:pPr>
      <w:r w:rsidRPr="009D2A41">
        <w:tab/>
      </w:r>
      <w:r w:rsidRPr="009D2A41">
        <w:rPr>
          <w:bCs/>
        </w:rPr>
        <w:t>Partnership net income/12</w:t>
      </w:r>
      <w:r w:rsidRPr="009D2A41">
        <w:rPr>
          <w:bCs/>
        </w:rPr>
        <w:br/>
      </w:r>
      <w:r w:rsidRPr="009D2A41">
        <w:rPr>
          <w:bCs/>
          <w:u w:val="single"/>
        </w:rPr>
        <w:t>+</w:t>
      </w:r>
      <w:r w:rsidRPr="009D2A41">
        <w:rPr>
          <w:bCs/>
          <w:u w:val="single"/>
        </w:rPr>
        <w:tab/>
        <w:t>Average payroll costs for other employees/12)</w:t>
      </w:r>
      <w:r w:rsidRPr="009D2A41">
        <w:rPr>
          <w:bCs/>
        </w:rPr>
        <w:br/>
        <w:t xml:space="preserve">=  Total average monthly payroll cost </w:t>
      </w:r>
      <w:r w:rsidRPr="009D2A41">
        <w:rPr>
          <w:bCs/>
        </w:rPr>
        <w:br/>
        <w:t>x</w:t>
      </w:r>
      <w:r w:rsidRPr="009D2A41">
        <w:rPr>
          <w:bCs/>
        </w:rPr>
        <w:tab/>
      </w:r>
      <w:r w:rsidRPr="009D2A41">
        <w:rPr>
          <w:bCs/>
          <w:u w:val="single"/>
        </w:rPr>
        <w:t xml:space="preserve">                                                                                   250% or 2.5</w:t>
      </w:r>
      <w:r w:rsidRPr="009D2A41">
        <w:rPr>
          <w:bCs/>
        </w:rPr>
        <w:br/>
        <w:t>=</w:t>
      </w:r>
      <w:r w:rsidRPr="009D2A41">
        <w:rPr>
          <w:bCs/>
        </w:rPr>
        <w:tab/>
      </w:r>
      <w:r w:rsidRPr="009D2A41">
        <w:rPr>
          <w:bCs/>
          <w:u w:val="double"/>
        </w:rPr>
        <w:t>Maximum PPP Loan for partnership not to exceed $10 million</w:t>
      </w:r>
    </w:p>
    <w:p w14:paraId="73616935" w14:textId="77777777" w:rsidR="00DF3391" w:rsidRPr="00083B08" w:rsidRDefault="00DF3391" w:rsidP="00DF3391"/>
    <w:p w14:paraId="7B0E0645" w14:textId="77777777" w:rsidR="00DF3391" w:rsidRPr="00B85768" w:rsidRDefault="00DF3391" w:rsidP="00DF3391">
      <w:pPr>
        <w:rPr>
          <w:bCs/>
        </w:rPr>
      </w:pPr>
      <w:r w:rsidRPr="00083B08">
        <w:t>As seen in the example below, all things being equal, the amount qualifying as payroll costs</w:t>
      </w:r>
      <w:r w:rsidRPr="00B85768">
        <w:rPr>
          <w:bCs/>
        </w:rPr>
        <w:t xml:space="preserve"> (and, therefore, the amount of the PPP loan) can differ depending on whether the individual operated as a partnership or an S Corporation.</w:t>
      </w:r>
    </w:p>
    <w:p w14:paraId="6413742F" w14:textId="77777777" w:rsidR="00DF3391" w:rsidRPr="00083B08" w:rsidRDefault="00DF3391" w:rsidP="00DF3391"/>
    <w:p w14:paraId="595D174C" w14:textId="77777777" w:rsidR="00DF3391" w:rsidRPr="00B85768" w:rsidRDefault="00DF3391" w:rsidP="00DF3391">
      <w:pPr>
        <w:rPr>
          <w:szCs w:val="22"/>
        </w:rPr>
      </w:pPr>
      <w:r w:rsidRPr="00B85768">
        <w:rPr>
          <w:b/>
          <w:szCs w:val="22"/>
        </w:rPr>
        <w:t xml:space="preserve">Example </w:t>
      </w:r>
      <w:r w:rsidRPr="00C732D7">
        <w:rPr>
          <w:b/>
          <w:szCs w:val="22"/>
        </w:rPr>
        <w:t>11</w:t>
      </w:r>
      <w:r w:rsidRPr="00B85768">
        <w:rPr>
          <w:szCs w:val="22"/>
        </w:rPr>
        <w:t>.  Assume a partner has reported at least $100,000 of self-employment income in Box 14 of her K-1 (which is a combination of Box 1 “Ordinary Business Income” and Box 4 “Guaranteed Payments”).  On the other hand, assume an owner/employee of an S corporation pays herself $50,000 in wages (i.e., as shown on Form 1120S, Line 7), while having $50,000 in Box 1 “Ordinary Business Income” of the K-1.</w:t>
      </w:r>
      <w:r>
        <w:rPr>
          <w:szCs w:val="22"/>
        </w:rPr>
        <w:t xml:space="preserve"> </w:t>
      </w:r>
      <w:r w:rsidRPr="00B85768">
        <w:rPr>
          <w:szCs w:val="22"/>
        </w:rPr>
        <w:t xml:space="preserve"> In this case, the </w:t>
      </w:r>
      <w:proofErr w:type="gramStart"/>
      <w:r w:rsidRPr="00B85768">
        <w:rPr>
          <w:szCs w:val="22"/>
        </w:rPr>
        <w:t>partner</w:t>
      </w:r>
      <w:proofErr w:type="gramEnd"/>
      <w:r w:rsidRPr="00B85768">
        <w:rPr>
          <w:szCs w:val="22"/>
        </w:rPr>
        <w:t xml:space="preserve"> and the shareholder both have the same total income of $100,000.  However, as calculated below, the partner would have twice the amount eligible for a PPP loan as compared to the S corporation owner/employee who only includes wages in the computation (and may have been trying to minimize the salary amount </w:t>
      </w:r>
      <w:proofErr w:type="gramStart"/>
      <w:r w:rsidRPr="00B85768">
        <w:rPr>
          <w:szCs w:val="22"/>
        </w:rPr>
        <w:t>so as to</w:t>
      </w:r>
      <w:proofErr w:type="gramEnd"/>
      <w:r w:rsidRPr="00B85768">
        <w:rPr>
          <w:szCs w:val="22"/>
        </w:rPr>
        <w:t xml:space="preserve"> save on employment taxes).</w:t>
      </w:r>
    </w:p>
    <w:p w14:paraId="6353B1D9" w14:textId="77777777" w:rsidR="00DF3391" w:rsidRPr="00083B08" w:rsidRDefault="00DF3391" w:rsidP="00DF3391"/>
    <w:p w14:paraId="1CDAB99C" w14:textId="77777777" w:rsidR="00DF3391" w:rsidRPr="009D2A41" w:rsidRDefault="00DF3391" w:rsidP="00DF3391">
      <w:pPr>
        <w:rPr>
          <w:szCs w:val="22"/>
        </w:rPr>
      </w:pPr>
      <w:r w:rsidRPr="009D2A41">
        <w:rPr>
          <w:szCs w:val="22"/>
        </w:rPr>
        <w:t>Partner:            [($100,000/12 = $8,333) x 2.5] = $20,833.33 Maximum PPP Loan</w:t>
      </w:r>
    </w:p>
    <w:p w14:paraId="0E0F5F1B" w14:textId="77777777" w:rsidR="00DF3391" w:rsidRPr="009D2A41" w:rsidRDefault="00DF3391" w:rsidP="00DF3391">
      <w:pPr>
        <w:rPr>
          <w:sz w:val="28"/>
        </w:rPr>
      </w:pPr>
      <w:r w:rsidRPr="009D2A41">
        <w:rPr>
          <w:szCs w:val="22"/>
        </w:rPr>
        <w:t>S shareholder   [($  50,000/12 = $4,166) x 2.5] = $10,416.67 Maximum PPP Loan</w:t>
      </w:r>
    </w:p>
    <w:p w14:paraId="7EC04295" w14:textId="77777777" w:rsidR="00DF3391" w:rsidRPr="00083B08" w:rsidRDefault="00DF3391" w:rsidP="00DF3391"/>
    <w:p w14:paraId="1F198F95" w14:textId="77777777" w:rsidR="00DF3391" w:rsidRPr="00B85768" w:rsidRDefault="00DF3391" w:rsidP="00DF3391">
      <w:pPr>
        <w:tabs>
          <w:tab w:val="left" w:pos="4500"/>
        </w:tabs>
        <w:rPr>
          <w:bCs/>
        </w:rPr>
      </w:pPr>
      <w:r>
        <w:rPr>
          <w:b/>
          <w:bCs/>
        </w:rPr>
        <w:t xml:space="preserve">PPP Loans: </w:t>
      </w:r>
      <w:r w:rsidRPr="00B85768">
        <w:rPr>
          <w:b/>
          <w:bCs/>
        </w:rPr>
        <w:t>Guarant</w:t>
      </w:r>
      <w:r>
        <w:rPr>
          <w:b/>
          <w:bCs/>
        </w:rPr>
        <w:t>y</w:t>
      </w:r>
      <w:r w:rsidRPr="00B85768">
        <w:rPr>
          <w:b/>
          <w:bCs/>
        </w:rPr>
        <w:t xml:space="preserve">.  </w:t>
      </w:r>
      <w:r w:rsidRPr="00B85768">
        <w:rPr>
          <w:bCs/>
        </w:rPr>
        <w:t xml:space="preserve">To encourage lenders to make these loans, the loans are fully guaranteed by the federal government through December 31, 2020.  Collateral is not required nor are personal guarantees.  Thus, if a business defaults on the loan, the government repays the loan.  </w:t>
      </w:r>
    </w:p>
    <w:p w14:paraId="32A5FC8E" w14:textId="77777777" w:rsidR="00DF3391" w:rsidRPr="00083B08" w:rsidRDefault="00DF3391" w:rsidP="00DF3391"/>
    <w:p w14:paraId="39DED2A9" w14:textId="77777777" w:rsidR="00DF3391" w:rsidRDefault="00DF3391" w:rsidP="00446B7F">
      <w:pPr>
        <w:overflowPunct/>
        <w:textAlignment w:val="auto"/>
        <w:rPr>
          <w:b/>
          <w:sz w:val="24"/>
          <w:highlight w:val="yellow"/>
        </w:rPr>
      </w:pPr>
    </w:p>
    <w:p w14:paraId="32327EA6" w14:textId="77777777" w:rsidR="00DF3391" w:rsidRPr="00B85768" w:rsidRDefault="00AB69F9" w:rsidP="00DF3391">
      <w:pPr>
        <w:rPr>
          <w:sz w:val="20"/>
        </w:rPr>
      </w:pPr>
      <w:r w:rsidRPr="00371EE1">
        <w:rPr>
          <w:bCs/>
          <w:highlight w:val="yellow"/>
        </w:rPr>
        <w:br w:type="column"/>
      </w:r>
      <w:r w:rsidR="00DF3391">
        <w:rPr>
          <w:b/>
          <w:bCs/>
        </w:rPr>
        <w:lastRenderedPageBreak/>
        <w:t xml:space="preserve">PPP Loans:  A Final Problem.  </w:t>
      </w:r>
      <w:r w:rsidR="00DF3391" w:rsidRPr="00B85768">
        <w:t xml:space="preserve">While the PPP program seems to be on target, as many have </w:t>
      </w:r>
      <w:r w:rsidR="00DF3391">
        <w:t>note</w:t>
      </w:r>
      <w:r w:rsidR="00DF3391" w:rsidRPr="00B85768">
        <w:t xml:space="preserve">, there is one major drawback:  when businesses receive their loan, they may not be operating.  As Mr. Nitti points out, (see Nitti, Tony. “Ten Things We Need </w:t>
      </w:r>
      <w:proofErr w:type="gramStart"/>
      <w:r w:rsidR="00DF3391" w:rsidRPr="00B85768">
        <w:t>To</w:t>
      </w:r>
      <w:proofErr w:type="gramEnd"/>
      <w:r w:rsidR="00DF3391" w:rsidRPr="00B85768">
        <w:t xml:space="preserve"> Know About Paycheck Protection Program Loan Forgiveness.”  </w:t>
      </w:r>
      <w:r w:rsidR="00DF3391" w:rsidRPr="00B85768">
        <w:rPr>
          <w:i/>
        </w:rPr>
        <w:t>Forbes</w:t>
      </w:r>
      <w:r w:rsidR="00DF3391" w:rsidRPr="00B85768">
        <w:t xml:space="preserve">, April 15, 2020 </w:t>
      </w:r>
      <w:hyperlink r:id="rId21" w:anchor="3e3a64603291" w:history="1">
        <w:r w:rsidR="00DF3391" w:rsidRPr="00B85768">
          <w:rPr>
            <w:rStyle w:val="Hyperlink"/>
            <w:sz w:val="20"/>
          </w:rPr>
          <w:t>https://www.forbes.com/sites/anthonynitti/2020/04/15/ten-things-we-need-to-know-about-paycheck-protection-program-loan-forgiveness/#3e3a64603291</w:t>
        </w:r>
      </w:hyperlink>
      <w:r w:rsidR="00DF3391" w:rsidRPr="00B85768">
        <w:rPr>
          <w:sz w:val="20"/>
        </w:rPr>
        <w:t xml:space="preserve"> </w:t>
      </w:r>
    </w:p>
    <w:p w14:paraId="56317ECB" w14:textId="77777777" w:rsidR="00DF3391" w:rsidRPr="0027022A" w:rsidRDefault="00DF3391" w:rsidP="00DF3391">
      <w:pPr>
        <w:tabs>
          <w:tab w:val="left" w:pos="540"/>
          <w:tab w:val="left" w:pos="900"/>
        </w:tabs>
        <w:rPr>
          <w:sz w:val="18"/>
          <w:szCs w:val="14"/>
        </w:rPr>
      </w:pPr>
    </w:p>
    <w:p w14:paraId="2AA84890" w14:textId="77777777" w:rsidR="0061610D" w:rsidRDefault="00DF3391" w:rsidP="0061610D">
      <w:pPr>
        <w:tabs>
          <w:tab w:val="left" w:pos="540"/>
          <w:tab w:val="left" w:pos="900"/>
        </w:tabs>
        <w:ind w:left="180" w:right="90"/>
        <w:jc w:val="both"/>
      </w:pPr>
      <w:r w:rsidRPr="00083B08">
        <w:t>business owners who rushed to get a PPP loan will be faced with the realization that to achieve full forgiveness, they will need to pay employees NOT to work. And given the recent increase to unemployment pay, those same employees may prefer not to be paid by their employer, as in many cases, collecting unemployment will prove more lucrative.  Given this reality, many business owners were hopeful that they would have flexibility in choosing their 8-week covered period, allowing them to wait out the shelter-in-place order, get their employees back to work, and maximize the payroll that would be incurred during that stretch, and by extension, the subsequent debt forgiveness.</w:t>
      </w:r>
    </w:p>
    <w:p w14:paraId="21F508E5" w14:textId="19C160B9" w:rsidR="00DF3391" w:rsidRPr="00083B08" w:rsidRDefault="00DF3391" w:rsidP="0061610D">
      <w:pPr>
        <w:tabs>
          <w:tab w:val="left" w:pos="540"/>
          <w:tab w:val="left" w:pos="900"/>
        </w:tabs>
        <w:ind w:left="180" w:right="90"/>
        <w:jc w:val="both"/>
        <w:rPr>
          <w:bCs/>
        </w:rPr>
      </w:pPr>
      <w:r>
        <w:tab/>
      </w:r>
      <w:r w:rsidRPr="00083B08">
        <w:rPr>
          <w:bCs/>
        </w:rPr>
        <w:t xml:space="preserve">That won’t be the case. The SBA clarified that the 8-week period begins on the date the borrower receives the disbursement of the loan, and the bank </w:t>
      </w:r>
      <w:r>
        <w:rPr>
          <w:bCs/>
        </w:rPr>
        <w:t>must</w:t>
      </w:r>
      <w:r w:rsidRPr="00083B08">
        <w:rPr>
          <w:bCs/>
        </w:rPr>
        <w:t xml:space="preserve"> make the disbursement within 10 days of loan approval. </w:t>
      </w:r>
      <w:r>
        <w:rPr>
          <w:bCs/>
        </w:rPr>
        <w:t>Thus</w:t>
      </w:r>
      <w:r w:rsidRPr="00083B08">
        <w:rPr>
          <w:bCs/>
        </w:rPr>
        <w:t xml:space="preserve">, a business that took out a PPP loan in the past week </w:t>
      </w:r>
      <w:proofErr w:type="gramStart"/>
      <w:r w:rsidRPr="00083B08">
        <w:rPr>
          <w:bCs/>
        </w:rPr>
        <w:t>has to</w:t>
      </w:r>
      <w:proofErr w:type="gramEnd"/>
      <w:r w:rsidRPr="00083B08">
        <w:rPr>
          <w:bCs/>
        </w:rPr>
        <w:t xml:space="preserve"> start the clock immediately upon receipt of the funds, regardless of whether their business has even restarted operations.</w:t>
      </w:r>
    </w:p>
    <w:p w14:paraId="26529FEC" w14:textId="77777777" w:rsidR="006271E5" w:rsidRPr="00371EE1" w:rsidRDefault="006271E5" w:rsidP="0061610D">
      <w:pPr>
        <w:overflowPunct/>
        <w:ind w:right="90"/>
        <w:textAlignment w:val="auto"/>
        <w:rPr>
          <w:b/>
          <w:bCs/>
          <w:sz w:val="24"/>
          <w:highlight w:val="yellow"/>
        </w:rPr>
      </w:pPr>
    </w:p>
    <w:p w14:paraId="1E2D490D" w14:textId="3B92A953" w:rsidR="001A64DF" w:rsidRPr="007A748A" w:rsidRDefault="001A64DF" w:rsidP="00446B7F">
      <w:pPr>
        <w:overflowPunct/>
        <w:textAlignment w:val="auto"/>
        <w:rPr>
          <w:b/>
          <w:bCs/>
          <w:sz w:val="24"/>
        </w:rPr>
      </w:pPr>
      <w:r w:rsidRPr="007A748A">
        <w:rPr>
          <w:b/>
          <w:bCs/>
          <w:sz w:val="24"/>
        </w:rPr>
        <w:t>Page 1-</w:t>
      </w:r>
      <w:r w:rsidR="00421706">
        <w:rPr>
          <w:b/>
          <w:bCs/>
          <w:sz w:val="24"/>
        </w:rPr>
        <w:t>17</w:t>
      </w:r>
      <w:r w:rsidR="00E91923" w:rsidRPr="007A748A">
        <w:rPr>
          <w:b/>
          <w:bCs/>
          <w:sz w:val="24"/>
        </w:rPr>
        <w:t xml:space="preserve">  Deductions</w:t>
      </w:r>
    </w:p>
    <w:p w14:paraId="35979D04" w14:textId="354D6024" w:rsidR="001A64DF" w:rsidRDefault="001A64DF" w:rsidP="00446B7F">
      <w:pPr>
        <w:overflowPunct/>
        <w:textAlignment w:val="auto"/>
        <w:rPr>
          <w:b/>
          <w:bCs/>
          <w:sz w:val="24"/>
          <w:highlight w:val="yellow"/>
        </w:rPr>
      </w:pPr>
    </w:p>
    <w:p w14:paraId="3C88B2DE" w14:textId="784C1C9D" w:rsidR="00C27E4B" w:rsidRPr="0027022A" w:rsidRDefault="00421706" w:rsidP="00C27E4B">
      <w:pPr>
        <w:pStyle w:val="Heading1"/>
        <w:rPr>
          <w:b/>
          <w:bCs/>
        </w:rPr>
      </w:pPr>
      <w:r w:rsidRPr="00421706">
        <w:rPr>
          <w:b/>
          <w:bCs/>
        </w:rPr>
        <w:t>Reasonable Compensation for Highly Compensated Employees</w:t>
      </w:r>
      <w:r w:rsidR="00C27E4B" w:rsidRPr="0027022A">
        <w:rPr>
          <w:b/>
          <w:bCs/>
        </w:rPr>
        <w:t xml:space="preserve">.  </w:t>
      </w:r>
    </w:p>
    <w:p w14:paraId="6342BEBF" w14:textId="77777777" w:rsidR="00C27E4B" w:rsidRPr="0027022A" w:rsidRDefault="00C27E4B" w:rsidP="00C27E4B">
      <w:pPr>
        <w:pStyle w:val="Heading1"/>
      </w:pPr>
    </w:p>
    <w:p w14:paraId="129C85E6" w14:textId="03AA4494" w:rsidR="00C27E4B" w:rsidRDefault="00C27E4B" w:rsidP="00C27E4B">
      <w:pPr>
        <w:pStyle w:val="Heading1"/>
        <w:ind w:left="0" w:firstLine="0"/>
      </w:pPr>
      <w:r>
        <w:t>For</w:t>
      </w:r>
      <w:r w:rsidRPr="0027022A">
        <w:t xml:space="preserve"> years after 2026</w:t>
      </w:r>
      <w:r>
        <w:t xml:space="preserve">, </w:t>
      </w:r>
      <w:r w:rsidRPr="0027022A">
        <w:t>ARPA amends §162(m) to add a corporation’s five highest-compensated employees (i.e., besides the employees already covered by Code §162(m)) to the list of individuals subject to the $1 million cap on deductible compensation.</w:t>
      </w:r>
    </w:p>
    <w:p w14:paraId="04D5F7A9" w14:textId="1F8AB68F" w:rsidR="00A12C5E" w:rsidRDefault="00A12C5E" w:rsidP="00C27E4B">
      <w:pPr>
        <w:pStyle w:val="Heading1"/>
        <w:ind w:left="0" w:firstLine="0"/>
      </w:pPr>
    </w:p>
    <w:p w14:paraId="7FC0F278" w14:textId="77777777" w:rsidR="00A12C5E" w:rsidRDefault="00A12C5E" w:rsidP="00A12C5E">
      <w:pPr>
        <w:rPr>
          <w:b/>
        </w:rPr>
      </w:pPr>
      <w:r w:rsidRPr="00A759E8">
        <w:rPr>
          <w:b/>
        </w:rPr>
        <w:t>100% Deduction for Food and Beverages</w:t>
      </w:r>
    </w:p>
    <w:p w14:paraId="2822EE57" w14:textId="77777777" w:rsidR="00A12C5E" w:rsidRDefault="00A12C5E" w:rsidP="00A12C5E">
      <w:pPr>
        <w:rPr>
          <w:b/>
        </w:rPr>
      </w:pPr>
    </w:p>
    <w:p w14:paraId="5F1E461D" w14:textId="77777777" w:rsidR="00A12C5E" w:rsidRDefault="00A12C5E" w:rsidP="00A12C5E">
      <w:pPr>
        <w:rPr>
          <w:bCs/>
        </w:rPr>
      </w:pPr>
      <w:r w:rsidRPr="00A759E8">
        <w:rPr>
          <w:bCs/>
        </w:rPr>
        <w:t xml:space="preserve">The IRS </w:t>
      </w:r>
      <w:r>
        <w:rPr>
          <w:bCs/>
        </w:rPr>
        <w:t>issued new</w:t>
      </w:r>
      <w:r w:rsidRPr="00A759E8">
        <w:rPr>
          <w:bCs/>
        </w:rPr>
        <w:t xml:space="preserve"> guidance for deductions </w:t>
      </w:r>
      <w:r>
        <w:rPr>
          <w:bCs/>
        </w:rPr>
        <w:t>of</w:t>
      </w:r>
      <w:r w:rsidRPr="00A759E8">
        <w:rPr>
          <w:bCs/>
        </w:rPr>
        <w:t xml:space="preserve"> </w:t>
      </w:r>
      <w:r>
        <w:rPr>
          <w:bCs/>
        </w:rPr>
        <w:t xml:space="preserve">the costs of </w:t>
      </w:r>
      <w:r w:rsidRPr="00A759E8">
        <w:rPr>
          <w:bCs/>
        </w:rPr>
        <w:t xml:space="preserve">food or beverages </w:t>
      </w:r>
      <w:r>
        <w:rPr>
          <w:bCs/>
        </w:rPr>
        <w:t>obtained from</w:t>
      </w:r>
      <w:r w:rsidRPr="00A759E8">
        <w:rPr>
          <w:bCs/>
        </w:rPr>
        <w:t xml:space="preserve"> restaurants</w:t>
      </w:r>
      <w:r>
        <w:rPr>
          <w:bCs/>
        </w:rPr>
        <w:t xml:space="preserve"> and bars</w:t>
      </w:r>
      <w:r w:rsidRPr="00A759E8">
        <w:rPr>
          <w:bCs/>
        </w:rPr>
        <w:t xml:space="preserve">. The </w:t>
      </w:r>
      <w:r w:rsidRPr="001203C0">
        <w:rPr>
          <w:bCs/>
        </w:rPr>
        <w:t xml:space="preserve">TCDTRA </w:t>
      </w:r>
      <w:r>
        <w:rPr>
          <w:bCs/>
        </w:rPr>
        <w:t xml:space="preserve">(2020) </w:t>
      </w:r>
      <w:r w:rsidRPr="00A759E8">
        <w:rPr>
          <w:bCs/>
        </w:rPr>
        <w:t xml:space="preserve">added a temporary exception to the 50% limit on the amount that businesses may deduct for food or beverages. Beginning </w:t>
      </w:r>
      <w:r>
        <w:rPr>
          <w:bCs/>
        </w:rPr>
        <w:t>in 2021</w:t>
      </w:r>
      <w:r w:rsidRPr="00A759E8">
        <w:rPr>
          <w:bCs/>
        </w:rPr>
        <w:t xml:space="preserve"> through </w:t>
      </w:r>
      <w:r>
        <w:rPr>
          <w:bCs/>
        </w:rPr>
        <w:t>20</w:t>
      </w:r>
      <w:r w:rsidRPr="00A759E8">
        <w:rPr>
          <w:bCs/>
        </w:rPr>
        <w:t xml:space="preserve">22, the </w:t>
      </w:r>
      <w:r>
        <w:rPr>
          <w:bCs/>
        </w:rPr>
        <w:t xml:space="preserve">new </w:t>
      </w:r>
      <w:r w:rsidRPr="00A759E8">
        <w:rPr>
          <w:bCs/>
        </w:rPr>
        <w:t xml:space="preserve">exception allows a 100% deduction for food or beverages from restaurants, </w:t>
      </w:r>
      <w:r>
        <w:rPr>
          <w:bCs/>
        </w:rPr>
        <w:t>if</w:t>
      </w:r>
      <w:r w:rsidRPr="00A759E8">
        <w:rPr>
          <w:bCs/>
        </w:rPr>
        <w:t xml:space="preserve"> the business owner (or an employee of the business) is present when food or beverages are provided, and the expense is not lavish or extravagant under the circumstances. Under the temporary provision, restaurants include businesses that prepare and sell food or beverages to retail customers for immediate on-premises and/or off-premises consumption. However, restaurants do not include businesses that primarily sell pre-packaged goods not for immediate consumption, such as grocery stores and convenience stores. </w:t>
      </w:r>
      <w:r>
        <w:rPr>
          <w:bCs/>
        </w:rPr>
        <w:t xml:space="preserve"> See </w:t>
      </w:r>
      <w:r w:rsidRPr="00A759E8">
        <w:rPr>
          <w:bCs/>
        </w:rPr>
        <w:t>News Release IR 2021-79 and Notice 2021-25.</w:t>
      </w:r>
    </w:p>
    <w:p w14:paraId="49864A30" w14:textId="77777777" w:rsidR="00421706" w:rsidRDefault="00421706" w:rsidP="00DF3391">
      <w:pPr>
        <w:rPr>
          <w:b/>
        </w:rPr>
      </w:pPr>
    </w:p>
    <w:p w14:paraId="7E2244D6" w14:textId="77777777" w:rsidR="00421706" w:rsidRDefault="00DF3391" w:rsidP="00DF3391">
      <w:pPr>
        <w:rPr>
          <w:b/>
        </w:rPr>
      </w:pPr>
      <w:r w:rsidRPr="005D60C9">
        <w:rPr>
          <w:b/>
        </w:rPr>
        <w:t>Deductibility of Business Expenses Paid with PPP Loans</w:t>
      </w:r>
      <w:r w:rsidRPr="00B85768">
        <w:rPr>
          <w:b/>
        </w:rPr>
        <w:t xml:space="preserve">.  </w:t>
      </w:r>
    </w:p>
    <w:p w14:paraId="39BC22E9" w14:textId="77777777" w:rsidR="00421706" w:rsidRDefault="00421706" w:rsidP="00DF3391">
      <w:pPr>
        <w:rPr>
          <w:b/>
        </w:rPr>
      </w:pPr>
    </w:p>
    <w:p w14:paraId="5C573D9B" w14:textId="03B7B58A" w:rsidR="00DF3391" w:rsidRPr="00B85768" w:rsidRDefault="00DF3391" w:rsidP="00DF3391">
      <w:pPr>
        <w:rPr>
          <w:bCs/>
        </w:rPr>
      </w:pPr>
      <w:r w:rsidRPr="00B85768">
        <w:t>As discussed earlier in this supplement (</w:t>
      </w:r>
      <w:r>
        <w:t xml:space="preserve">material for </w:t>
      </w:r>
      <w:r w:rsidRPr="00CE5056">
        <w:t>Page 6-5</w:t>
      </w:r>
      <w:r w:rsidRPr="000B20CB">
        <w:t>1</w:t>
      </w:r>
      <w:r w:rsidRPr="00B85768">
        <w:t xml:space="preserve"> of the text), forgiveness of PPP loans is generally nontaxable if the loan is used for qualified expenses (e.g., payroll costs, mortgage interest, rent and utilities.</w:t>
      </w:r>
      <w:r>
        <w:t>)</w:t>
      </w:r>
      <w:r w:rsidRPr="00B85768">
        <w:t xml:space="preserve">  </w:t>
      </w:r>
      <w:r>
        <w:t>At first glance,</w:t>
      </w:r>
      <w:r w:rsidRPr="00B85768">
        <w:t xml:space="preserve"> this seem</w:t>
      </w:r>
      <w:r>
        <w:t>ed</w:t>
      </w:r>
      <w:r w:rsidRPr="00B85768">
        <w:t xml:space="preserve"> quite favorable,</w:t>
      </w:r>
      <w:r>
        <w:t xml:space="preserve"> but</w:t>
      </w:r>
      <w:r w:rsidRPr="00B85768">
        <w:t xml:space="preserve"> there </w:t>
      </w:r>
      <w:r>
        <w:t>was</w:t>
      </w:r>
      <w:r w:rsidRPr="00B85768">
        <w:t xml:space="preserve"> trouble lingering below the surface.  As noted in the text, § 265 provides that no deduction is allowed for expenses related to tax-exempt income.  Early in the continuing saga of PPP loans, tax pundits pointed out that if expenses related to PPP loan forgiveness are not allowed, this puts taxpayers in the same position as if their forgiven PPP loan were included in income and they were able to deduct all expenses.  On April 30, 2020, </w:t>
      </w:r>
      <w:proofErr w:type="gramStart"/>
      <w:r w:rsidRPr="00B85768">
        <w:rPr>
          <w:bCs/>
        </w:rPr>
        <w:t>Notice</w:t>
      </w:r>
      <w:proofErr w:type="gramEnd"/>
      <w:r w:rsidRPr="00B85768">
        <w:rPr>
          <w:bCs/>
        </w:rPr>
        <w:t xml:space="preserve"> 2020-32, IRB 2020-21, 05/01/2020 takes that position.  The Notice </w:t>
      </w:r>
      <w:r>
        <w:rPr>
          <w:bCs/>
        </w:rPr>
        <w:t xml:space="preserve">specifically </w:t>
      </w:r>
      <w:r w:rsidRPr="00B85768">
        <w:rPr>
          <w:bCs/>
        </w:rPr>
        <w:t>explains that a taxpayer that receives a loan through the Paycheck Protection Program (PPP) is not permitted to deduct expenses that are nor</w:t>
      </w:r>
      <w:r>
        <w:rPr>
          <w:bCs/>
        </w:rPr>
        <w:t>mally deductible under the Code</w:t>
      </w:r>
      <w:r w:rsidRPr="00B85768">
        <w:rPr>
          <w:bCs/>
        </w:rPr>
        <w:t xml:space="preserve"> to the extent the expenses were reimbursed by a </w:t>
      </w:r>
      <w:r w:rsidRPr="00B85768">
        <w:rPr>
          <w:bCs/>
        </w:rPr>
        <w:lastRenderedPageBreak/>
        <w:t xml:space="preserve">PPP loan that was </w:t>
      </w:r>
      <w:r w:rsidRPr="00C31470">
        <w:rPr>
          <w:bCs/>
        </w:rPr>
        <w:t xml:space="preserve">later </w:t>
      </w:r>
      <w:r w:rsidRPr="00B85768">
        <w:rPr>
          <w:bCs/>
        </w:rPr>
        <w:t>forgiven.  None of the legislation relating to the COVID-19 addresse</w:t>
      </w:r>
      <w:r>
        <w:rPr>
          <w:bCs/>
        </w:rPr>
        <w:t>d</w:t>
      </w:r>
      <w:r w:rsidRPr="00B85768">
        <w:rPr>
          <w:bCs/>
        </w:rPr>
        <w:t xml:space="preserve"> the issue (e.g.,  FFCRA and CARES). </w:t>
      </w:r>
    </w:p>
    <w:p w14:paraId="19E34CE3" w14:textId="77777777" w:rsidR="00DF3391" w:rsidRDefault="00DF3391" w:rsidP="00DF3391">
      <w:pPr>
        <w:rPr>
          <w:bCs/>
        </w:rPr>
      </w:pPr>
      <w:r w:rsidRPr="00B85768">
        <w:rPr>
          <w:bCs/>
        </w:rPr>
        <w:tab/>
        <w:t xml:space="preserve">As might be expected, the Notice was met with great </w:t>
      </w:r>
      <w:r>
        <w:rPr>
          <w:bCs/>
        </w:rPr>
        <w:t>hissing</w:t>
      </w:r>
      <w:r w:rsidRPr="00B85768">
        <w:rPr>
          <w:bCs/>
        </w:rPr>
        <w:t xml:space="preserve"> and moaning.  The AICPA indicated that it believes strongly that the position of the Notice is contrary to Congressional intent.  Chris Hesse, CPA, chair of the AICPA Tax Executive Committee, said: “In effect, the IRS guidance means that the taxability provision [</w:t>
      </w:r>
      <w:r>
        <w:rPr>
          <w:bCs/>
        </w:rPr>
        <w:t xml:space="preserve">Act § </w:t>
      </w:r>
      <w:r w:rsidRPr="00B85768">
        <w:rPr>
          <w:bCs/>
        </w:rPr>
        <w:t>1106(</w:t>
      </w:r>
      <w:proofErr w:type="spellStart"/>
      <w:r w:rsidRPr="00B85768">
        <w:rPr>
          <w:bCs/>
        </w:rPr>
        <w:t>i</w:t>
      </w:r>
      <w:proofErr w:type="spellEnd"/>
      <w:r w:rsidRPr="00B85768">
        <w:rPr>
          <w:bCs/>
        </w:rPr>
        <w:t>)] has no meaning. Why waste the ink to say that for purposes of the Code, the loan forgiveness is not includible in income, if the government will just take away deductions in the same amount?</w:t>
      </w:r>
      <w:r>
        <w:rPr>
          <w:bCs/>
        </w:rPr>
        <w:t>”</w:t>
      </w:r>
      <w:r w:rsidRPr="00B85768">
        <w:rPr>
          <w:bCs/>
        </w:rPr>
        <w:t xml:space="preserve"> </w:t>
      </w:r>
      <w:r w:rsidRPr="00B85768">
        <w:t>See Sally P. Schreiber. "</w:t>
      </w:r>
      <w:r w:rsidRPr="00B85768">
        <w:rPr>
          <w:bCs/>
        </w:rPr>
        <w:t xml:space="preserve">AICPA Challenging </w:t>
      </w:r>
      <w:proofErr w:type="spellStart"/>
      <w:r w:rsidRPr="00B85768">
        <w:rPr>
          <w:bCs/>
        </w:rPr>
        <w:t>Nondeductibility</w:t>
      </w:r>
      <w:proofErr w:type="spellEnd"/>
      <w:r w:rsidRPr="00B85768">
        <w:rPr>
          <w:bCs/>
        </w:rPr>
        <w:t xml:space="preserve"> of PPP-Related Expenses.” </w:t>
      </w:r>
      <w:r w:rsidRPr="00B85768">
        <w:rPr>
          <w:bCs/>
          <w:i/>
        </w:rPr>
        <w:t>Journal of Accountancy</w:t>
      </w:r>
      <w:r w:rsidRPr="00B85768">
        <w:rPr>
          <w:bCs/>
        </w:rPr>
        <w:t xml:space="preserve">, May 1, 2020,  </w:t>
      </w:r>
      <w:hyperlink r:id="rId22" w:history="1">
        <w:r w:rsidRPr="00051EC7">
          <w:rPr>
            <w:rStyle w:val="Hyperlink"/>
            <w:bCs/>
            <w:sz w:val="16"/>
            <w:szCs w:val="16"/>
          </w:rPr>
          <w:t>https://www.journalofaccountancy.com/news/2020/may/expenses-reimbursed-by-ppp-not-tax-deductible-paycheck-protection-program.html</w:t>
        </w:r>
      </w:hyperlink>
      <w:r w:rsidRPr="00051EC7">
        <w:rPr>
          <w:bCs/>
          <w:sz w:val="16"/>
          <w:szCs w:val="16"/>
        </w:rPr>
        <w:t xml:space="preserve">   </w:t>
      </w:r>
      <w:r w:rsidRPr="008C2CAA">
        <w:rPr>
          <w:bCs/>
        </w:rPr>
        <w:t>In a letter dated August 4, the AICPA joined over 170 organizations to urge Congress to “include a technical correction addressing the tax treatment of loan forgiveness.”</w:t>
      </w:r>
    </w:p>
    <w:p w14:paraId="40095152" w14:textId="77777777" w:rsidR="00DF3391" w:rsidRDefault="00DF3391" w:rsidP="00DF3391">
      <w:pPr>
        <w:rPr>
          <w:bCs/>
        </w:rPr>
      </w:pPr>
    </w:p>
    <w:p w14:paraId="40817AC0" w14:textId="77777777" w:rsidR="00DF3391" w:rsidRPr="0034407D" w:rsidRDefault="00DF3391" w:rsidP="00DF3391">
      <w:pPr>
        <w:rPr>
          <w:bCs/>
        </w:rPr>
      </w:pPr>
      <w:r w:rsidRPr="00CE5056">
        <w:rPr>
          <w:bCs/>
        </w:rPr>
        <w:t>The outcries worked.  ARPA provides a deduction for expenses paid out of PPP loan proceeds.</w:t>
      </w:r>
      <w:r w:rsidRPr="00947326">
        <w:rPr>
          <w:bCs/>
        </w:rPr>
        <w:t xml:space="preserve">  In</w:t>
      </w:r>
      <w:r w:rsidRPr="00454A12">
        <w:rPr>
          <w:bCs/>
        </w:rPr>
        <w:t xml:space="preserve"> Rev. Proc. 2021-20</w:t>
      </w:r>
      <w:r>
        <w:rPr>
          <w:bCs/>
        </w:rPr>
        <w:t>, the IRS</w:t>
      </w:r>
      <w:r w:rsidRPr="00454A12">
        <w:rPr>
          <w:bCs/>
        </w:rPr>
        <w:t xml:space="preserve"> allows taxpayers who filed a tax year 2020 return on or before </w:t>
      </w:r>
      <w:r>
        <w:rPr>
          <w:bCs/>
        </w:rPr>
        <w:t>December</w:t>
      </w:r>
      <w:r w:rsidRPr="00454A12">
        <w:rPr>
          <w:bCs/>
        </w:rPr>
        <w:t xml:space="preserve"> 27, 2020, to deduct those expenses on their 2021 tax return rather than file amended returns or administrative adjustment requests.</w:t>
      </w:r>
    </w:p>
    <w:p w14:paraId="2BABCC6A" w14:textId="78CDBB0C" w:rsidR="00DF3391" w:rsidRDefault="00DF3391" w:rsidP="00446B7F">
      <w:pPr>
        <w:overflowPunct/>
        <w:textAlignment w:val="auto"/>
        <w:rPr>
          <w:bCs/>
          <w:sz w:val="24"/>
          <w:highlight w:val="yellow"/>
        </w:rPr>
      </w:pPr>
    </w:p>
    <w:p w14:paraId="297882AE" w14:textId="79B83BEB" w:rsidR="00DF3391" w:rsidRPr="00DF3391" w:rsidRDefault="006A0269" w:rsidP="00DF3391">
      <w:pPr>
        <w:tabs>
          <w:tab w:val="left" w:pos="600"/>
        </w:tabs>
        <w:overflowPunct/>
        <w:autoSpaceDE/>
        <w:autoSpaceDN/>
        <w:adjustRightInd/>
        <w:spacing w:line="240" w:lineRule="atLeast"/>
        <w:jc w:val="both"/>
        <w:textAlignment w:val="auto"/>
        <w:outlineLvl w:val="0"/>
        <w:rPr>
          <w:b/>
          <w:sz w:val="24"/>
        </w:rPr>
      </w:pPr>
      <w:r>
        <w:rPr>
          <w:b/>
          <w:sz w:val="24"/>
        </w:rPr>
        <w:t xml:space="preserve">Deductions for </w:t>
      </w:r>
      <w:r w:rsidR="00DF3391" w:rsidRPr="00DF3391">
        <w:rPr>
          <w:b/>
          <w:sz w:val="24"/>
        </w:rPr>
        <w:t>Family and Medical Leave Payments and Sick Pay.</w:t>
      </w:r>
    </w:p>
    <w:p w14:paraId="0F3A228F" w14:textId="77777777" w:rsidR="00DF3391" w:rsidRPr="00DF3391" w:rsidRDefault="00DF3391" w:rsidP="00DF3391">
      <w:pPr>
        <w:tabs>
          <w:tab w:val="left" w:pos="600"/>
        </w:tabs>
        <w:overflowPunct/>
        <w:autoSpaceDE/>
        <w:autoSpaceDN/>
        <w:adjustRightInd/>
        <w:spacing w:line="240" w:lineRule="atLeast"/>
        <w:textAlignment w:val="auto"/>
        <w:outlineLvl w:val="0"/>
        <w:rPr>
          <w:sz w:val="24"/>
        </w:rPr>
      </w:pPr>
    </w:p>
    <w:p w14:paraId="444C7727" w14:textId="2E423D09" w:rsidR="00DF3391" w:rsidRPr="006A0269" w:rsidRDefault="00DF3391" w:rsidP="00DF3391">
      <w:pPr>
        <w:shd w:val="clear" w:color="auto" w:fill="FFFFFF"/>
        <w:overflowPunct/>
        <w:autoSpaceDE/>
        <w:autoSpaceDN/>
        <w:adjustRightInd/>
        <w:textAlignment w:val="auto"/>
        <w:rPr>
          <w:color w:val="222222"/>
          <w:sz w:val="24"/>
          <w:szCs w:val="24"/>
        </w:rPr>
      </w:pPr>
      <w:r w:rsidRPr="00DF3391">
        <w:rPr>
          <w:color w:val="222222"/>
          <w:sz w:val="24"/>
          <w:szCs w:val="24"/>
        </w:rPr>
        <w:t>In the world of work, the relationship between employers and employees is not always rosy.  Indeed, there are labor laws designed to regulate that relationship to ensure that employers observe the rights of their employees and treat them fairly.  One area that causes confusion and tension is that of</w:t>
      </w:r>
      <w:r w:rsidR="006A0269">
        <w:rPr>
          <w:color w:val="222222"/>
          <w:sz w:val="24"/>
          <w:szCs w:val="24"/>
        </w:rPr>
        <w:t xml:space="preserve"> leaves for</w:t>
      </w:r>
      <w:r w:rsidRPr="00DF3391">
        <w:rPr>
          <w:color w:val="222222"/>
          <w:sz w:val="24"/>
          <w:szCs w:val="24"/>
        </w:rPr>
        <w:t xml:space="preserve"> family and medical </w:t>
      </w:r>
      <w:r w:rsidR="006A0269">
        <w:rPr>
          <w:color w:val="222222"/>
          <w:sz w:val="24"/>
          <w:szCs w:val="24"/>
        </w:rPr>
        <w:t>purposes</w:t>
      </w:r>
      <w:r w:rsidRPr="00DF3391">
        <w:rPr>
          <w:color w:val="222222"/>
          <w:sz w:val="24"/>
          <w:szCs w:val="24"/>
        </w:rPr>
        <w:t xml:space="preserve">.  The problem is simple: can employees temporarily leave their job due to medical and family circumstances without fear of losing it?  Of course, the related question is whether employees should be entitled to paid sick leave.  </w:t>
      </w:r>
      <w:r w:rsidR="006A0269">
        <w:rPr>
          <w:color w:val="222222"/>
          <w:sz w:val="24"/>
          <w:szCs w:val="24"/>
        </w:rPr>
        <w:t>(</w:t>
      </w:r>
      <w:r w:rsidR="006A0269">
        <w:rPr>
          <w:i/>
          <w:iCs/>
          <w:color w:val="222222"/>
          <w:sz w:val="24"/>
          <w:szCs w:val="24"/>
        </w:rPr>
        <w:t xml:space="preserve">Note:  the text does not discuss this issue but is added here </w:t>
      </w:r>
      <w:proofErr w:type="gramStart"/>
      <w:r w:rsidR="006A0269">
        <w:rPr>
          <w:i/>
          <w:iCs/>
          <w:color w:val="222222"/>
          <w:sz w:val="24"/>
          <w:szCs w:val="24"/>
        </w:rPr>
        <w:t>in light of</w:t>
      </w:r>
      <w:proofErr w:type="gramEnd"/>
      <w:r w:rsidR="006A0269">
        <w:rPr>
          <w:i/>
          <w:iCs/>
          <w:color w:val="222222"/>
          <w:sz w:val="24"/>
          <w:szCs w:val="24"/>
        </w:rPr>
        <w:t xml:space="preserve"> recent developments.</w:t>
      </w:r>
      <w:r w:rsidR="006A0269" w:rsidRPr="006A0269">
        <w:rPr>
          <w:color w:val="222222"/>
          <w:sz w:val="24"/>
          <w:szCs w:val="24"/>
        </w:rPr>
        <w:t>)</w:t>
      </w:r>
    </w:p>
    <w:p w14:paraId="4483FDA4" w14:textId="7FD04444" w:rsidR="00DF3391" w:rsidRPr="006A0269" w:rsidRDefault="00DF3391" w:rsidP="00DF3391">
      <w:pPr>
        <w:shd w:val="clear" w:color="auto" w:fill="FFFFFF"/>
        <w:overflowPunct/>
        <w:autoSpaceDE/>
        <w:autoSpaceDN/>
        <w:adjustRightInd/>
        <w:textAlignment w:val="auto"/>
        <w:rPr>
          <w:color w:val="222222"/>
          <w:sz w:val="24"/>
          <w:szCs w:val="24"/>
        </w:rPr>
      </w:pPr>
      <w:r w:rsidRPr="00DF3391">
        <w:rPr>
          <w:color w:val="222222"/>
          <w:sz w:val="24"/>
          <w:szCs w:val="24"/>
        </w:rPr>
        <w:tab/>
      </w:r>
      <w:r w:rsidRPr="006A0269">
        <w:rPr>
          <w:color w:val="222222"/>
          <w:sz w:val="24"/>
          <w:szCs w:val="24"/>
        </w:rPr>
        <w:t xml:space="preserve">Congress </w:t>
      </w:r>
      <w:r w:rsidR="00804F53">
        <w:rPr>
          <w:color w:val="222222"/>
          <w:sz w:val="24"/>
          <w:szCs w:val="24"/>
        </w:rPr>
        <w:t xml:space="preserve">initially </w:t>
      </w:r>
      <w:r w:rsidRPr="006A0269">
        <w:rPr>
          <w:color w:val="222222"/>
          <w:sz w:val="24"/>
          <w:szCs w:val="24"/>
        </w:rPr>
        <w:t xml:space="preserve">addressed the issue of sick leave with the enactment of the Family and Medical Leave Act (FMLA) in 1993.  The FMLA </w:t>
      </w:r>
      <w:r w:rsidR="006A0269">
        <w:rPr>
          <w:color w:val="222222"/>
          <w:sz w:val="24"/>
          <w:szCs w:val="24"/>
        </w:rPr>
        <w:t xml:space="preserve">applies only to employers </w:t>
      </w:r>
      <w:r w:rsidRPr="006A0269">
        <w:rPr>
          <w:color w:val="222222"/>
          <w:sz w:val="24"/>
          <w:szCs w:val="24"/>
        </w:rPr>
        <w:t>with more than 50 employees</w:t>
      </w:r>
      <w:r w:rsidR="006A0269">
        <w:rPr>
          <w:color w:val="222222"/>
          <w:sz w:val="24"/>
          <w:szCs w:val="24"/>
        </w:rPr>
        <w:t xml:space="preserve">.  In such case, employers </w:t>
      </w:r>
      <w:r w:rsidR="006A0269" w:rsidRPr="00804F53">
        <w:rPr>
          <w:i/>
          <w:iCs/>
          <w:color w:val="222222"/>
          <w:sz w:val="24"/>
          <w:szCs w:val="24"/>
        </w:rPr>
        <w:t>must</w:t>
      </w:r>
      <w:r w:rsidRPr="00804F53">
        <w:rPr>
          <w:i/>
          <w:iCs/>
          <w:color w:val="222222"/>
          <w:sz w:val="24"/>
          <w:szCs w:val="24"/>
        </w:rPr>
        <w:t xml:space="preserve"> allow</w:t>
      </w:r>
      <w:r w:rsidRPr="006A0269">
        <w:rPr>
          <w:color w:val="222222"/>
          <w:sz w:val="24"/>
          <w:szCs w:val="24"/>
        </w:rPr>
        <w:t xml:space="preserve"> their employees up to 12 weeks of </w:t>
      </w:r>
      <w:r w:rsidRPr="006A0269">
        <w:rPr>
          <w:b/>
          <w:i/>
          <w:color w:val="222222"/>
          <w:sz w:val="24"/>
          <w:szCs w:val="24"/>
          <w:u w:val="single"/>
        </w:rPr>
        <w:t>unpaid</w:t>
      </w:r>
      <w:r w:rsidRPr="006A0269">
        <w:rPr>
          <w:color w:val="222222"/>
          <w:sz w:val="24"/>
          <w:szCs w:val="24"/>
        </w:rPr>
        <w:t xml:space="preserve"> leave for qualified medical and family reasons without fear of losing their jobs.  The FMLA did not contain any tax provisions.</w:t>
      </w:r>
    </w:p>
    <w:p w14:paraId="16A65AB1" w14:textId="63E0B40C" w:rsidR="00DF3391" w:rsidRPr="00DF3391" w:rsidRDefault="00DF3391" w:rsidP="00DF3391">
      <w:pPr>
        <w:overflowPunct/>
        <w:autoSpaceDE/>
        <w:autoSpaceDN/>
        <w:adjustRightInd/>
        <w:jc w:val="both"/>
        <w:textAlignment w:val="auto"/>
        <w:rPr>
          <w:color w:val="222222"/>
          <w:sz w:val="24"/>
        </w:rPr>
      </w:pPr>
      <w:r w:rsidRPr="006A0269">
        <w:rPr>
          <w:color w:val="222222"/>
          <w:sz w:val="24"/>
        </w:rPr>
        <w:tab/>
        <w:t xml:space="preserve">It should be </w:t>
      </w:r>
      <w:r w:rsidR="00804F53">
        <w:rPr>
          <w:color w:val="222222"/>
          <w:sz w:val="24"/>
        </w:rPr>
        <w:t>noted</w:t>
      </w:r>
      <w:r w:rsidRPr="006A0269">
        <w:rPr>
          <w:color w:val="222222"/>
          <w:sz w:val="24"/>
        </w:rPr>
        <w:t xml:space="preserve"> that the FMLA of 1993 did not require employers to pay employees while they were on leave.  To emphasize, it did not require </w:t>
      </w:r>
      <w:r w:rsidRPr="006A0269">
        <w:rPr>
          <w:b/>
          <w:color w:val="222222"/>
          <w:sz w:val="24"/>
        </w:rPr>
        <w:t xml:space="preserve">paid sick leave, </w:t>
      </w:r>
      <w:r w:rsidRPr="006A0269">
        <w:rPr>
          <w:color w:val="222222"/>
          <w:sz w:val="24"/>
        </w:rPr>
        <w:t xml:space="preserve">although some employers offered it and some states required it.  What </w:t>
      </w:r>
      <w:r w:rsidR="00804F53">
        <w:rPr>
          <w:color w:val="222222"/>
          <w:sz w:val="24"/>
        </w:rPr>
        <w:t>the FMLA</w:t>
      </w:r>
      <w:r w:rsidRPr="006A0269">
        <w:rPr>
          <w:color w:val="222222"/>
          <w:sz w:val="24"/>
        </w:rPr>
        <w:t xml:space="preserve"> did do was mandate that employers must grant their employees up to 12 weeks of job protected sick leave.  </w:t>
      </w:r>
      <w:r w:rsidR="00804F53">
        <w:rPr>
          <w:color w:val="222222"/>
          <w:sz w:val="24"/>
        </w:rPr>
        <w:t>Thus</w:t>
      </w:r>
      <w:r w:rsidRPr="006A0269">
        <w:rPr>
          <w:color w:val="222222"/>
          <w:sz w:val="24"/>
        </w:rPr>
        <w:t>, employees legally can take up to 12 weeks of leave due to health reason and not worry about losing their jobs.</w:t>
      </w:r>
    </w:p>
    <w:p w14:paraId="06F1F12D" w14:textId="1C656381" w:rsidR="00DF3391" w:rsidRPr="00DF3391" w:rsidRDefault="00DF3391" w:rsidP="00DF3391">
      <w:pPr>
        <w:overflowPunct/>
        <w:autoSpaceDE/>
        <w:autoSpaceDN/>
        <w:adjustRightInd/>
        <w:textAlignment w:val="auto"/>
        <w:rPr>
          <w:sz w:val="24"/>
        </w:rPr>
      </w:pPr>
      <w:r w:rsidRPr="00DF3391">
        <w:rPr>
          <w:color w:val="222222"/>
          <w:sz w:val="24"/>
        </w:rPr>
        <w:tab/>
        <w:t xml:space="preserve">Perhaps, the first tax development with respect to sick leave occurred with the enactment of </w:t>
      </w:r>
      <w:r w:rsidRPr="00DF3391">
        <w:rPr>
          <w:sz w:val="24"/>
        </w:rPr>
        <w:t>the TCJA of 2017 that created a special credit to help subsidize an employer’s cost of paying for family and medical leave.  Section 45S allows eligible employers to claim a general business credit equal to 12.5% of the wages paid.  In addition, the credit is increased by 0.25 percentage points for each percentage point by which the rate of payment exceeds 50% of the employee’s normal wages (but not more than 25% or a maximum of 37.5%). Employers who claim the credit must reduce their deduction for wages by the amount of the credit.</w:t>
      </w:r>
    </w:p>
    <w:p w14:paraId="0ABDF9A8" w14:textId="77777777" w:rsidR="00DF3391" w:rsidRPr="00DF3391" w:rsidRDefault="00DF3391" w:rsidP="00DF3391">
      <w:pPr>
        <w:overflowPunct/>
        <w:autoSpaceDE/>
        <w:autoSpaceDN/>
        <w:adjustRightInd/>
        <w:textAlignment w:val="auto"/>
        <w:rPr>
          <w:sz w:val="24"/>
        </w:rPr>
      </w:pPr>
      <w:r w:rsidRPr="00DF3391">
        <w:rPr>
          <w:sz w:val="24"/>
        </w:rPr>
        <w:tab/>
        <w:t xml:space="preserve"> No doubt some hoped that the credit would encourage more employers to offer paid sick leave programs.  The dramatic upheaval brought by COVID-19 prompted Congress to revisit this area in the enactment of FFCRA (</w:t>
      </w:r>
      <w:r w:rsidRPr="00DF3391">
        <w:rPr>
          <w:i/>
          <w:sz w:val="24"/>
        </w:rPr>
        <w:t>Families First Coronavirus Response Act</w:t>
      </w:r>
      <w:r w:rsidRPr="00DF3391">
        <w:rPr>
          <w:sz w:val="24"/>
        </w:rPr>
        <w:t xml:space="preserve">), the first piece of legislation in response to COVID-19.  FFCRA generally requires certain employers to provide </w:t>
      </w:r>
      <w:r w:rsidRPr="00DF3391">
        <w:rPr>
          <w:sz w:val="24"/>
        </w:rPr>
        <w:lastRenderedPageBreak/>
        <w:t>sick pay.  ARPA codified the credits for payment of sick pay and family leave.  It also increased the credit to $12,000.</w:t>
      </w:r>
    </w:p>
    <w:p w14:paraId="351F5F40" w14:textId="77777777" w:rsidR="00DF3391" w:rsidRPr="00DF3391" w:rsidRDefault="00DF3391" w:rsidP="00DF3391">
      <w:pPr>
        <w:tabs>
          <w:tab w:val="left" w:pos="600"/>
        </w:tabs>
        <w:overflowPunct/>
        <w:autoSpaceDE/>
        <w:autoSpaceDN/>
        <w:adjustRightInd/>
        <w:spacing w:line="240" w:lineRule="atLeast"/>
        <w:textAlignment w:val="auto"/>
        <w:outlineLvl w:val="0"/>
        <w:rPr>
          <w:sz w:val="24"/>
        </w:rPr>
      </w:pPr>
    </w:p>
    <w:p w14:paraId="0F95DD17" w14:textId="7FC75113" w:rsidR="00DF3391" w:rsidRPr="00DF3391" w:rsidRDefault="00DF3391" w:rsidP="00DF3391">
      <w:pPr>
        <w:overflowPunct/>
        <w:textAlignment w:val="auto"/>
        <w:rPr>
          <w:sz w:val="24"/>
          <w:szCs w:val="24"/>
        </w:rPr>
      </w:pPr>
      <w:r w:rsidRPr="00DF3391">
        <w:rPr>
          <w:b/>
          <w:sz w:val="24"/>
          <w:szCs w:val="24"/>
        </w:rPr>
        <w:t xml:space="preserve">Paid Sick Leave: Background.  </w:t>
      </w:r>
      <w:r w:rsidRPr="00DF3391">
        <w:rPr>
          <w:sz w:val="24"/>
          <w:szCs w:val="24"/>
        </w:rPr>
        <w:t xml:space="preserve">As noted above, prior to FFCRA, there was no federal law in the U.S. that required sick pay for the private sector employees (except for an executive order signed by President Obama for businesses that do business with the federal government).  Still, it is not uncommon to hear employees say that they are taking a sick day, for which they may or may not be paid.  However, payments for sick leave are usually required for public sector workers—both federal and state employees, who are provided paid sick leave as part of their employment agreements.   </w:t>
      </w:r>
    </w:p>
    <w:p w14:paraId="034F6FBC" w14:textId="77777777" w:rsidR="00DF3391" w:rsidRPr="00DF3391" w:rsidRDefault="00DF3391" w:rsidP="00DF3391">
      <w:pPr>
        <w:overflowPunct/>
        <w:textAlignment w:val="auto"/>
        <w:rPr>
          <w:sz w:val="20"/>
          <w:szCs w:val="24"/>
        </w:rPr>
      </w:pPr>
      <w:r w:rsidRPr="00DF3391">
        <w:rPr>
          <w:sz w:val="24"/>
          <w:szCs w:val="24"/>
        </w:rPr>
        <w:tab/>
        <w:t xml:space="preserve">As reported by </w:t>
      </w:r>
      <w:proofErr w:type="spellStart"/>
      <w:r w:rsidRPr="00DF3391">
        <w:rPr>
          <w:sz w:val="24"/>
          <w:szCs w:val="24"/>
        </w:rPr>
        <w:t>Workest</w:t>
      </w:r>
      <w:proofErr w:type="spellEnd"/>
      <w:r w:rsidRPr="00DF3391">
        <w:rPr>
          <w:sz w:val="24"/>
          <w:szCs w:val="24"/>
        </w:rPr>
        <w:t xml:space="preserve">, </w:t>
      </w:r>
      <w:r w:rsidRPr="00DF3391">
        <w:rPr>
          <w:sz w:val="20"/>
          <w:szCs w:val="24"/>
        </w:rPr>
        <w:t>(</w:t>
      </w:r>
      <w:hyperlink r:id="rId23" w:history="1">
        <w:r w:rsidRPr="00DF3391">
          <w:rPr>
            <w:color w:val="0000FF"/>
            <w:sz w:val="20"/>
            <w:szCs w:val="24"/>
            <w:u w:val="single"/>
          </w:rPr>
          <w:t>https://www.zenefits.com/workest/the-definitive-list-of-states-and-cities-with-paid-sick-leave-laws/</w:t>
        </w:r>
      </w:hyperlink>
      <w:r w:rsidRPr="00DF3391">
        <w:rPr>
          <w:szCs w:val="24"/>
        </w:rPr>
        <w:t xml:space="preserve">, </w:t>
      </w:r>
      <w:r w:rsidRPr="00DF3391">
        <w:rPr>
          <w:sz w:val="24"/>
          <w:szCs w:val="24"/>
        </w:rPr>
        <w:t>an</w:t>
      </w:r>
      <w:r w:rsidRPr="00DF3391">
        <w:rPr>
          <w:sz w:val="28"/>
          <w:szCs w:val="24"/>
        </w:rPr>
        <w:t xml:space="preserve"> </w:t>
      </w:r>
      <w:r w:rsidRPr="00DF3391">
        <w:rPr>
          <w:sz w:val="24"/>
          <w:szCs w:val="24"/>
        </w:rPr>
        <w:t xml:space="preserve">analysis in 2018 by the Bureau of Labor Statistics found that about 61 percent of Americans workers in the private sector had sick pay while 39 percent of American did not.  In that regard, currently 11 states and Washington  D.C., as well as over 30 localities, require paid sick leave.  However, things are changing.  For example, recently, on April 3, 2020, the state of New York, in response to the millions of jobs lost due to COVID-19, amended its labor laws to require all New York employers to provide paid (or unpaid) sick leave for their employees  See </w:t>
      </w:r>
      <w:hyperlink r:id="rId24" w:history="1">
        <w:r w:rsidRPr="00DF3391">
          <w:rPr>
            <w:color w:val="0000FF"/>
            <w:sz w:val="20"/>
            <w:szCs w:val="24"/>
            <w:u w:val="single"/>
          </w:rPr>
          <w:t>https://www.littler.com/publication-press/publication/new-york-enacts-statewide-sick-leave-law</w:t>
        </w:r>
      </w:hyperlink>
      <w:r w:rsidRPr="00DF3391">
        <w:rPr>
          <w:sz w:val="20"/>
          <w:szCs w:val="24"/>
        </w:rPr>
        <w:t>.</w:t>
      </w:r>
    </w:p>
    <w:p w14:paraId="197E3180" w14:textId="77777777" w:rsidR="00DF3391" w:rsidRPr="00DF3391" w:rsidRDefault="00DF3391" w:rsidP="00DF3391">
      <w:pPr>
        <w:tabs>
          <w:tab w:val="left" w:pos="600"/>
        </w:tabs>
        <w:overflowPunct/>
        <w:autoSpaceDE/>
        <w:autoSpaceDN/>
        <w:adjustRightInd/>
        <w:spacing w:line="240" w:lineRule="atLeast"/>
        <w:textAlignment w:val="auto"/>
        <w:outlineLvl w:val="0"/>
        <w:rPr>
          <w:sz w:val="24"/>
        </w:rPr>
      </w:pPr>
    </w:p>
    <w:p w14:paraId="59E20E51" w14:textId="2E7FB816" w:rsidR="00DF3391" w:rsidRPr="00DF3391" w:rsidRDefault="00DF3391" w:rsidP="00DF3391">
      <w:pPr>
        <w:overflowPunct/>
        <w:textAlignment w:val="auto"/>
        <w:rPr>
          <w:sz w:val="24"/>
        </w:rPr>
      </w:pPr>
      <w:r w:rsidRPr="00DF3391">
        <w:rPr>
          <w:b/>
          <w:sz w:val="24"/>
          <w:szCs w:val="24"/>
        </w:rPr>
        <w:t xml:space="preserve">FFCRA and Required Payment of Sick Leave.  </w:t>
      </w:r>
      <w:r w:rsidRPr="00DF3391">
        <w:rPr>
          <w:sz w:val="24"/>
          <w:szCs w:val="24"/>
        </w:rPr>
        <w:t xml:space="preserve">On the federal front, the enactment of FFCRA was a milestone concerning sick leave.  FFCRA now </w:t>
      </w:r>
      <w:r w:rsidRPr="00DF3391">
        <w:rPr>
          <w:b/>
          <w:sz w:val="24"/>
          <w:szCs w:val="24"/>
        </w:rPr>
        <w:t>requires</w:t>
      </w:r>
      <w:r w:rsidRPr="00DF3391">
        <w:rPr>
          <w:sz w:val="24"/>
          <w:szCs w:val="24"/>
        </w:rPr>
        <w:t xml:space="preserve"> most employers to provide </w:t>
      </w:r>
      <w:r w:rsidRPr="00DF3391">
        <w:rPr>
          <w:b/>
          <w:sz w:val="24"/>
          <w:szCs w:val="24"/>
        </w:rPr>
        <w:t>paid sick leave</w:t>
      </w:r>
      <w:r w:rsidRPr="00DF3391">
        <w:rPr>
          <w:sz w:val="24"/>
          <w:szCs w:val="24"/>
        </w:rPr>
        <w:t xml:space="preserve"> but only if its employees are directly impacted by the COVID-19.  As a result, most of America’s nearly 159 million workers will be able to get </w:t>
      </w:r>
      <w:r w:rsidRPr="00DF3391">
        <w:rPr>
          <w:i/>
          <w:sz w:val="24"/>
          <w:szCs w:val="24"/>
        </w:rPr>
        <w:t>paid</w:t>
      </w:r>
      <w:r w:rsidRPr="00DF3391">
        <w:rPr>
          <w:sz w:val="24"/>
          <w:szCs w:val="24"/>
        </w:rPr>
        <w:t xml:space="preserve"> time off if they or their families are directly affected by COVID-19.  Moreover, FFCRA modifies the tax law to give employers credits for these payments that can be used to reduce their payroll tax liabilities.  This arrangement effectively eliminates the employer’s cost of the sick pay that they are required to pay under federal law. </w:t>
      </w:r>
    </w:p>
    <w:p w14:paraId="504C1BA8" w14:textId="77777777" w:rsidR="00DF3391" w:rsidRPr="00DF3391" w:rsidRDefault="00DF3391" w:rsidP="00DF3391">
      <w:pPr>
        <w:overflowPunct/>
        <w:textAlignment w:val="auto"/>
        <w:rPr>
          <w:sz w:val="24"/>
          <w:szCs w:val="24"/>
        </w:rPr>
      </w:pPr>
      <w:r w:rsidRPr="00DF3391">
        <w:rPr>
          <w:sz w:val="24"/>
          <w:szCs w:val="24"/>
        </w:rPr>
        <w:tab/>
        <w:t>Technically, FFCRA contains two pieces of legislation that require paid sick leave.  The new law is confusing because there are two separate programs that concern sick pay and there are subtle differences between them.  Note that at the conclusion of this discussion, there are charts that summarize and compare the two programs.  The two programs are:</w:t>
      </w:r>
    </w:p>
    <w:p w14:paraId="12CDDAE5" w14:textId="77777777" w:rsidR="00DF3391" w:rsidRPr="00DF3391" w:rsidRDefault="00DF3391" w:rsidP="00DF3391">
      <w:pPr>
        <w:overflowPunct/>
        <w:ind w:left="540" w:hanging="540"/>
        <w:textAlignment w:val="auto"/>
        <w:rPr>
          <w:sz w:val="24"/>
          <w:szCs w:val="24"/>
        </w:rPr>
      </w:pPr>
      <w:r w:rsidRPr="00DF3391">
        <w:rPr>
          <w:sz w:val="24"/>
          <w:szCs w:val="24"/>
        </w:rPr>
        <w:t>(1)</w:t>
      </w:r>
      <w:r w:rsidRPr="00DF3391">
        <w:rPr>
          <w:sz w:val="24"/>
          <w:szCs w:val="24"/>
        </w:rPr>
        <w:tab/>
      </w:r>
      <w:r w:rsidRPr="00DF3391">
        <w:rPr>
          <w:b/>
          <w:sz w:val="24"/>
          <w:szCs w:val="24"/>
        </w:rPr>
        <w:t>The Emergency Paid Sick Leave Act</w:t>
      </w:r>
      <w:r w:rsidRPr="00DF3391">
        <w:rPr>
          <w:sz w:val="24"/>
          <w:szCs w:val="24"/>
        </w:rPr>
        <w:t xml:space="preserve"> (</w:t>
      </w:r>
      <w:r w:rsidRPr="00DF3391">
        <w:rPr>
          <w:b/>
          <w:sz w:val="24"/>
          <w:szCs w:val="24"/>
        </w:rPr>
        <w:t>EPSLA</w:t>
      </w:r>
      <w:r w:rsidRPr="00DF3391">
        <w:rPr>
          <w:sz w:val="24"/>
          <w:szCs w:val="24"/>
        </w:rPr>
        <w:t>, Act § 5101) that requires certain employers to provide</w:t>
      </w:r>
      <w:r w:rsidRPr="00DF3391">
        <w:rPr>
          <w:sz w:val="24"/>
        </w:rPr>
        <w:t xml:space="preserve"> up to</w:t>
      </w:r>
      <w:r w:rsidRPr="00DF3391">
        <w:rPr>
          <w:b/>
          <w:sz w:val="24"/>
        </w:rPr>
        <w:t xml:space="preserve"> </w:t>
      </w:r>
      <w:r w:rsidRPr="00DF3391">
        <w:rPr>
          <w:sz w:val="24"/>
        </w:rPr>
        <w:t>two weeks of</w:t>
      </w:r>
      <w:r w:rsidRPr="00DF3391">
        <w:rPr>
          <w:sz w:val="24"/>
          <w:szCs w:val="24"/>
        </w:rPr>
        <w:t xml:space="preserve"> </w:t>
      </w:r>
      <w:r w:rsidRPr="00DF3391">
        <w:rPr>
          <w:i/>
          <w:sz w:val="24"/>
          <w:szCs w:val="24"/>
        </w:rPr>
        <w:t>paid sick leave</w:t>
      </w:r>
      <w:r w:rsidRPr="00DF3391">
        <w:rPr>
          <w:b/>
          <w:i/>
          <w:sz w:val="24"/>
          <w:szCs w:val="24"/>
        </w:rPr>
        <w:t xml:space="preserve"> </w:t>
      </w:r>
      <w:r w:rsidRPr="00DF3391">
        <w:rPr>
          <w:sz w:val="24"/>
          <w:szCs w:val="24"/>
        </w:rPr>
        <w:t>and.</w:t>
      </w:r>
    </w:p>
    <w:p w14:paraId="7E533504" w14:textId="77777777" w:rsidR="00DF3391" w:rsidRPr="00DF3391" w:rsidRDefault="00DF3391" w:rsidP="00DF3391">
      <w:pPr>
        <w:overflowPunct/>
        <w:ind w:left="540" w:hanging="540"/>
        <w:textAlignment w:val="auto"/>
        <w:rPr>
          <w:sz w:val="24"/>
          <w:szCs w:val="24"/>
        </w:rPr>
      </w:pPr>
      <w:r w:rsidRPr="00DF3391">
        <w:rPr>
          <w:sz w:val="24"/>
          <w:szCs w:val="24"/>
        </w:rPr>
        <w:t>(2)</w:t>
      </w:r>
      <w:r w:rsidRPr="00DF3391">
        <w:rPr>
          <w:sz w:val="24"/>
          <w:szCs w:val="24"/>
        </w:rPr>
        <w:tab/>
      </w:r>
      <w:r w:rsidRPr="00DF3391">
        <w:rPr>
          <w:b/>
          <w:sz w:val="24"/>
          <w:szCs w:val="24"/>
        </w:rPr>
        <w:t>The Emergency Family and Medical Leave Expansion Act</w:t>
      </w:r>
      <w:r w:rsidRPr="00DF3391">
        <w:rPr>
          <w:sz w:val="24"/>
          <w:szCs w:val="24"/>
        </w:rPr>
        <w:t xml:space="preserve"> (</w:t>
      </w:r>
      <w:r w:rsidRPr="00DF3391">
        <w:rPr>
          <w:b/>
          <w:sz w:val="24"/>
          <w:szCs w:val="24"/>
        </w:rPr>
        <w:t>EFMLEA</w:t>
      </w:r>
      <w:r w:rsidRPr="00DF3391">
        <w:rPr>
          <w:sz w:val="24"/>
          <w:szCs w:val="24"/>
        </w:rPr>
        <w:t xml:space="preserve">, Act § 3101), which, in its so-called </w:t>
      </w:r>
      <w:r w:rsidRPr="00DF3391">
        <w:rPr>
          <w:i/>
          <w:sz w:val="24"/>
          <w:szCs w:val="24"/>
        </w:rPr>
        <w:t>family and medical leave</w:t>
      </w:r>
      <w:r w:rsidRPr="00DF3391">
        <w:rPr>
          <w:b/>
          <w:sz w:val="24"/>
          <w:szCs w:val="24"/>
        </w:rPr>
        <w:t xml:space="preserve"> </w:t>
      </w:r>
      <w:r w:rsidRPr="00DF3391">
        <w:rPr>
          <w:sz w:val="24"/>
          <w:szCs w:val="24"/>
        </w:rPr>
        <w:t>program, expands the Family and Medical Leave Act of 1993 (FMLA) mentioned above.  In so doing, the EFMLEA increases the benefits beyond those required by the paid sick leave rules of EPSLA (i.e., two weeks of sick pay).  EFMLEA’s family and medical leave program generally requires 12 weeks of leave (10 of them paid) for certain COVID-19 related reasons.   [</w:t>
      </w:r>
      <w:r w:rsidRPr="00DF3391">
        <w:rPr>
          <w:b/>
          <w:sz w:val="24"/>
          <w:szCs w:val="24"/>
        </w:rPr>
        <w:t>Note:</w:t>
      </w:r>
      <w:r w:rsidRPr="00DF3391">
        <w:rPr>
          <w:sz w:val="24"/>
          <w:szCs w:val="24"/>
        </w:rPr>
        <w:t xml:space="preserve"> the FMLA of 1993 requires up</w:t>
      </w:r>
      <w:r w:rsidRPr="00DF3391">
        <w:rPr>
          <w:sz w:val="24"/>
        </w:rPr>
        <w:t xml:space="preserve"> to 12 weeks of </w:t>
      </w:r>
      <w:r w:rsidRPr="00DF3391">
        <w:rPr>
          <w:i/>
          <w:iCs/>
          <w:sz w:val="24"/>
        </w:rPr>
        <w:t>unpaid</w:t>
      </w:r>
      <w:r w:rsidRPr="00DF3391">
        <w:rPr>
          <w:sz w:val="24"/>
        </w:rPr>
        <w:t xml:space="preserve"> leave (see FMLA of 1993 (29 United States Code § 2611(a)(1) that provides that an “employee shall be entitled to a total of 12 workweeks of leaving . . .”)).</w:t>
      </w:r>
    </w:p>
    <w:p w14:paraId="5925D2A3" w14:textId="77777777" w:rsidR="00DF3391" w:rsidRPr="00DF3391" w:rsidRDefault="00DF3391" w:rsidP="00DF3391">
      <w:pPr>
        <w:overflowPunct/>
        <w:autoSpaceDE/>
        <w:autoSpaceDN/>
        <w:adjustRightInd/>
        <w:jc w:val="both"/>
        <w:textAlignment w:val="auto"/>
        <w:rPr>
          <w:sz w:val="24"/>
        </w:rPr>
      </w:pPr>
      <w:r w:rsidRPr="00DF3391">
        <w:rPr>
          <w:sz w:val="24"/>
        </w:rPr>
        <w:t xml:space="preserve"> </w:t>
      </w:r>
    </w:p>
    <w:p w14:paraId="1B0E9E8B" w14:textId="77777777" w:rsidR="00DF3391" w:rsidRPr="00DF3391" w:rsidRDefault="00DF3391" w:rsidP="00DF3391">
      <w:pPr>
        <w:overflowPunct/>
        <w:autoSpaceDE/>
        <w:autoSpaceDN/>
        <w:adjustRightInd/>
        <w:jc w:val="both"/>
        <w:textAlignment w:val="auto"/>
        <w:rPr>
          <w:sz w:val="24"/>
        </w:rPr>
      </w:pPr>
      <w:r w:rsidRPr="00DF3391">
        <w:rPr>
          <w:sz w:val="24"/>
        </w:rPr>
        <w:t xml:space="preserve">These two acts, EPSLA and EFMLEA, work in different ways to assist working families facing health emergencies arising out of the coronavirus. </w:t>
      </w:r>
    </w:p>
    <w:p w14:paraId="1AE5007B" w14:textId="77777777" w:rsidR="00DF3391" w:rsidRPr="00DF3391" w:rsidRDefault="00DF3391" w:rsidP="00DF3391">
      <w:pPr>
        <w:overflowPunct/>
        <w:autoSpaceDE/>
        <w:autoSpaceDN/>
        <w:adjustRightInd/>
        <w:jc w:val="both"/>
        <w:textAlignment w:val="auto"/>
        <w:rPr>
          <w:sz w:val="24"/>
        </w:rPr>
      </w:pPr>
    </w:p>
    <w:p w14:paraId="5E503B2F" w14:textId="14CFB2AF" w:rsidR="00DF3391" w:rsidRDefault="00DF3391" w:rsidP="00DF3391">
      <w:pPr>
        <w:overflowPunct/>
        <w:autoSpaceDE/>
        <w:autoSpaceDN/>
        <w:adjustRightInd/>
        <w:jc w:val="both"/>
        <w:textAlignment w:val="auto"/>
        <w:rPr>
          <w:sz w:val="24"/>
        </w:rPr>
      </w:pPr>
      <w:r w:rsidRPr="00DF3391">
        <w:rPr>
          <w:b/>
          <w:sz w:val="24"/>
        </w:rPr>
        <w:t xml:space="preserve">Which Employees Are Covered?  </w:t>
      </w:r>
      <w:r w:rsidRPr="00DF3391">
        <w:rPr>
          <w:sz w:val="24"/>
        </w:rPr>
        <w:t xml:space="preserve">The criteria for which employees are covered by EPSLA’s </w:t>
      </w:r>
      <w:r w:rsidRPr="00DF3391">
        <w:rPr>
          <w:b/>
          <w:sz w:val="24"/>
        </w:rPr>
        <w:t>paid sick leave</w:t>
      </w:r>
      <w:r w:rsidRPr="00DF3391">
        <w:rPr>
          <w:sz w:val="24"/>
        </w:rPr>
        <w:t xml:space="preserve"> requirement and the criteria for which employees are covered by EFMLEA’s </w:t>
      </w:r>
      <w:r w:rsidRPr="00DF3391">
        <w:rPr>
          <w:b/>
          <w:sz w:val="24"/>
        </w:rPr>
        <w:lastRenderedPageBreak/>
        <w:t>family and medical leave</w:t>
      </w:r>
      <w:r w:rsidRPr="00DF3391">
        <w:rPr>
          <w:sz w:val="24"/>
        </w:rPr>
        <w:t xml:space="preserve"> program are not identical.  For the paid sick leave program of EPSLA, all employees are covered, regardless of how long they have worked (even a day) or whether they are part-time. On the other hand, EFMLEA’s expanded family and medical leave program only covers those employees who have worked for at least 30 days.  Both Acts, both programs, apply to part-time employees. </w:t>
      </w:r>
      <w:r w:rsidRPr="00DF3391">
        <w:rPr>
          <w:b/>
          <w:sz w:val="24"/>
        </w:rPr>
        <w:t>Note</w:t>
      </w:r>
      <w:r w:rsidRPr="00DF3391">
        <w:rPr>
          <w:sz w:val="24"/>
        </w:rPr>
        <w:t>: neither program requires employers to provide paid sick leave for employees who are health care providers or emergency responders.</w:t>
      </w:r>
    </w:p>
    <w:p w14:paraId="7F06AF79" w14:textId="77777777" w:rsidR="00BF562F" w:rsidRPr="00DF3391" w:rsidRDefault="00BF562F" w:rsidP="00DF3391">
      <w:pPr>
        <w:overflowPunct/>
        <w:autoSpaceDE/>
        <w:autoSpaceDN/>
        <w:adjustRightInd/>
        <w:jc w:val="both"/>
        <w:textAlignment w:val="auto"/>
        <w:rPr>
          <w:sz w:val="24"/>
        </w:rPr>
      </w:pPr>
    </w:p>
    <w:p w14:paraId="46FB655F" w14:textId="77777777" w:rsidR="00DF3391" w:rsidRPr="00DF3391" w:rsidRDefault="00DF3391" w:rsidP="00DF3391">
      <w:pPr>
        <w:overflowPunct/>
        <w:autoSpaceDE/>
        <w:autoSpaceDN/>
        <w:adjustRightInd/>
        <w:jc w:val="both"/>
        <w:textAlignment w:val="auto"/>
        <w:rPr>
          <w:sz w:val="24"/>
        </w:rPr>
      </w:pPr>
      <w:r w:rsidRPr="00DF3391">
        <w:rPr>
          <w:b/>
          <w:sz w:val="24"/>
        </w:rPr>
        <w:t xml:space="preserve">Which Employers Are Required to Pay Sick Leave?  </w:t>
      </w:r>
      <w:r w:rsidRPr="00DF3391">
        <w:rPr>
          <w:sz w:val="24"/>
        </w:rPr>
        <w:t>Generally, FFCRA covers both private employers with less than 500 employees and certain public employers (“covered employers”). However, as discussed below, small businesses (less than 50 employees) who do not want to pay for sick leave can elect to exempt themselves from certain provisions of FFCRA.</w:t>
      </w:r>
    </w:p>
    <w:p w14:paraId="356CCB8C" w14:textId="77777777" w:rsidR="00DF3391" w:rsidRPr="00DF3391" w:rsidRDefault="00DF3391" w:rsidP="00DF3391">
      <w:pPr>
        <w:overflowPunct/>
        <w:autoSpaceDE/>
        <w:autoSpaceDN/>
        <w:adjustRightInd/>
        <w:jc w:val="both"/>
        <w:textAlignment w:val="auto"/>
        <w:rPr>
          <w:sz w:val="24"/>
        </w:rPr>
      </w:pPr>
    </w:p>
    <w:p w14:paraId="29C99220" w14:textId="77777777" w:rsidR="00DF3391" w:rsidRPr="00DF3391" w:rsidRDefault="00DF3391" w:rsidP="00DF3391">
      <w:pPr>
        <w:overflowPunct/>
        <w:autoSpaceDE/>
        <w:autoSpaceDN/>
        <w:adjustRightInd/>
        <w:jc w:val="both"/>
        <w:textAlignment w:val="auto"/>
        <w:rPr>
          <w:sz w:val="24"/>
        </w:rPr>
      </w:pPr>
      <w:r w:rsidRPr="00DF3391">
        <w:rPr>
          <w:b/>
          <w:i/>
          <w:sz w:val="24"/>
        </w:rPr>
        <w:t>Large Employers (More than 500 Employees)</w:t>
      </w:r>
      <w:r w:rsidRPr="00DF3391">
        <w:rPr>
          <w:b/>
          <w:sz w:val="24"/>
        </w:rPr>
        <w:t xml:space="preserve">.  </w:t>
      </w:r>
      <w:r w:rsidRPr="00DF3391">
        <w:rPr>
          <w:sz w:val="24"/>
        </w:rPr>
        <w:t xml:space="preserve">The new legislation does not necessarily reach the nation’s larger companies. Neither EPSLA’s paid sick leave requirement nor EFMLEA’s family and medical leave program apply to employers with more than 500 employees.  These businesses, which may or may not already offer paid time off, are not subject to the legislation.  However, some large businesses that had not offered these benefits in the past--including Walmart and McDonald’s—have announced temporary coronavirus-related sick pay policies.  While the federal rules do not apply to larger companies, </w:t>
      </w:r>
      <w:proofErr w:type="gramStart"/>
      <w:r w:rsidRPr="00DF3391">
        <w:rPr>
          <w:sz w:val="24"/>
        </w:rPr>
        <w:t>a number of</w:t>
      </w:r>
      <w:proofErr w:type="gramEnd"/>
      <w:r w:rsidRPr="00DF3391">
        <w:rPr>
          <w:sz w:val="24"/>
        </w:rPr>
        <w:t xml:space="preserve"> states who are adopting their own emergency sick leave statutes are thinking otherwise.  Interestingly, some of these states do not exempt large employers. In addition, proposals in Congress would remove this 500-employee cap and force such businesses to pay sick leave.  For this reason, experts are cautioning employers with more than 500 employees to monitor potential legislation at the state and federal levels. </w:t>
      </w:r>
    </w:p>
    <w:p w14:paraId="34F7AE6B" w14:textId="77777777" w:rsidR="00DF3391" w:rsidRPr="00DF3391" w:rsidRDefault="00DF3391" w:rsidP="00DF3391">
      <w:pPr>
        <w:overflowPunct/>
        <w:autoSpaceDE/>
        <w:autoSpaceDN/>
        <w:adjustRightInd/>
        <w:jc w:val="both"/>
        <w:textAlignment w:val="auto"/>
        <w:rPr>
          <w:sz w:val="24"/>
        </w:rPr>
      </w:pPr>
    </w:p>
    <w:p w14:paraId="1CEAFBB7" w14:textId="77777777" w:rsidR="00DF3391" w:rsidRPr="00DF3391" w:rsidRDefault="00DF3391" w:rsidP="00DF3391">
      <w:pPr>
        <w:overflowPunct/>
        <w:autoSpaceDE/>
        <w:autoSpaceDN/>
        <w:adjustRightInd/>
        <w:textAlignment w:val="auto"/>
        <w:rPr>
          <w:sz w:val="24"/>
        </w:rPr>
      </w:pPr>
      <w:r w:rsidRPr="00DF3391">
        <w:rPr>
          <w:b/>
          <w:i/>
          <w:sz w:val="24"/>
        </w:rPr>
        <w:t>Small Business Exemption.</w:t>
      </w:r>
      <w:r w:rsidRPr="00DF3391">
        <w:rPr>
          <w:b/>
          <w:sz w:val="24"/>
        </w:rPr>
        <w:t xml:space="preserve">  </w:t>
      </w:r>
      <w:proofErr w:type="gramStart"/>
      <w:r w:rsidRPr="00DF3391">
        <w:rPr>
          <w:sz w:val="24"/>
        </w:rPr>
        <w:t>Similar to</w:t>
      </w:r>
      <w:proofErr w:type="gramEnd"/>
      <w:r w:rsidRPr="00DF3391">
        <w:rPr>
          <w:sz w:val="24"/>
        </w:rPr>
        <w:t xml:space="preserve"> its treatment of large employers, FFCRA does not always reach the workers of the country’s smaller businesses.  Under certain circumstances, employers with fewer than 50 employees (small businesses) are </w:t>
      </w:r>
      <w:r w:rsidRPr="00DF3391">
        <w:rPr>
          <w:i/>
          <w:sz w:val="24"/>
        </w:rPr>
        <w:t>not</w:t>
      </w:r>
      <w:r w:rsidRPr="00DF3391">
        <w:rPr>
          <w:sz w:val="24"/>
        </w:rPr>
        <w:t xml:space="preserve"> required to provide paid leave when an employee’s leave is necessary to care for a child whose school or place of care is closed, or whose childcare provider is unavailable due to COVID–19 related reasons.  In other words, these businesses are exempt from having to pay sick pay in these situations.  However, this exemption is available only if the leave payments would jeopardize the viability of the business as a going concern.  If businesses wish to avoid paying sick leave based on the viability argument, the regulations of the Department of Labor indicate that an officer of the business must document that one or more of the following is true:</w:t>
      </w:r>
    </w:p>
    <w:p w14:paraId="7DC761D6" w14:textId="77777777" w:rsidR="00DF3391" w:rsidRPr="00DF3391" w:rsidRDefault="00DF3391" w:rsidP="00DF3391">
      <w:pPr>
        <w:overflowPunct/>
        <w:autoSpaceDE/>
        <w:autoSpaceDN/>
        <w:adjustRightInd/>
        <w:ind w:left="450" w:hanging="360"/>
        <w:textAlignment w:val="auto"/>
        <w:rPr>
          <w:sz w:val="24"/>
        </w:rPr>
      </w:pPr>
      <w:r w:rsidRPr="00DF3391">
        <w:rPr>
          <w:sz w:val="24"/>
        </w:rPr>
        <w:t xml:space="preserve">(1) </w:t>
      </w:r>
      <w:r w:rsidRPr="00DF3391">
        <w:rPr>
          <w:sz w:val="24"/>
        </w:rPr>
        <w:tab/>
        <w:t xml:space="preserve">The requested leave causes the business’s expenses and financial obligations to exceed its available revenues and prevents the business from operating at even a minimal </w:t>
      </w:r>
      <w:proofErr w:type="gramStart"/>
      <w:r w:rsidRPr="00DF3391">
        <w:rPr>
          <w:sz w:val="24"/>
        </w:rPr>
        <w:t>capacity;</w:t>
      </w:r>
      <w:proofErr w:type="gramEnd"/>
      <w:r w:rsidRPr="00DF3391">
        <w:rPr>
          <w:sz w:val="24"/>
        </w:rPr>
        <w:t xml:space="preserve"> </w:t>
      </w:r>
    </w:p>
    <w:p w14:paraId="65013E15" w14:textId="77777777" w:rsidR="00DF3391" w:rsidRPr="00DF3391" w:rsidRDefault="00DF3391" w:rsidP="00DF3391">
      <w:pPr>
        <w:overflowPunct/>
        <w:autoSpaceDE/>
        <w:autoSpaceDN/>
        <w:adjustRightInd/>
        <w:ind w:left="450" w:hanging="360"/>
        <w:textAlignment w:val="auto"/>
        <w:rPr>
          <w:sz w:val="24"/>
        </w:rPr>
      </w:pPr>
      <w:r w:rsidRPr="00DF3391">
        <w:rPr>
          <w:sz w:val="24"/>
        </w:rPr>
        <w:t>(2)</w:t>
      </w:r>
      <w:r w:rsidRPr="00DF3391">
        <w:rPr>
          <w:sz w:val="24"/>
        </w:rPr>
        <w:tab/>
        <w:t>The absence of the employees requesting leave would entail a substantial risk to the financial health or operational capabilities of the business because of their specialized skills, knowledge of the business, or responsibilities; and</w:t>
      </w:r>
    </w:p>
    <w:p w14:paraId="7BB7A8D5" w14:textId="77777777" w:rsidR="00DF3391" w:rsidRPr="00DF3391" w:rsidRDefault="00DF3391" w:rsidP="00DF3391">
      <w:pPr>
        <w:overflowPunct/>
        <w:autoSpaceDE/>
        <w:autoSpaceDN/>
        <w:adjustRightInd/>
        <w:ind w:left="450" w:hanging="360"/>
        <w:textAlignment w:val="auto"/>
        <w:rPr>
          <w:sz w:val="24"/>
        </w:rPr>
      </w:pPr>
      <w:r w:rsidRPr="00DF3391">
        <w:rPr>
          <w:sz w:val="24"/>
        </w:rPr>
        <w:t>(3)</w:t>
      </w:r>
      <w:r w:rsidRPr="00DF3391">
        <w:rPr>
          <w:sz w:val="24"/>
        </w:rPr>
        <w:tab/>
        <w:t>There are not sufficient workers who are able, willing, and qualified, and who will be available at the time and place needed, to perform the labor or services provided by the employee or employees requesting leave, and this labor or services are needed for the small business to operate at a minimal capacity.</w:t>
      </w:r>
    </w:p>
    <w:p w14:paraId="4FD4E139" w14:textId="77777777" w:rsidR="00DF3391" w:rsidRPr="00DF3391" w:rsidRDefault="00DF3391" w:rsidP="00DF3391">
      <w:pPr>
        <w:overflowPunct/>
        <w:autoSpaceDE/>
        <w:autoSpaceDN/>
        <w:adjustRightInd/>
        <w:textAlignment w:val="auto"/>
        <w:rPr>
          <w:sz w:val="24"/>
        </w:rPr>
      </w:pPr>
    </w:p>
    <w:p w14:paraId="34D12CA3" w14:textId="77777777" w:rsidR="00DF3391" w:rsidRPr="00DF3391" w:rsidRDefault="00DF3391" w:rsidP="00DF3391">
      <w:pPr>
        <w:overflowPunct/>
        <w:autoSpaceDE/>
        <w:autoSpaceDN/>
        <w:adjustRightInd/>
        <w:jc w:val="both"/>
        <w:textAlignment w:val="auto"/>
        <w:rPr>
          <w:sz w:val="24"/>
        </w:rPr>
      </w:pPr>
      <w:r w:rsidRPr="00DF3391">
        <w:rPr>
          <w:sz w:val="24"/>
        </w:rPr>
        <w:t xml:space="preserve">To emphasize, the exemption for small businesses is only an exception from the obligation to provide paid leave to an employee who requests leave due to school or childcare closures (e.g., so the employee can be home to take care of his or her child because the child’s school or facility that provided childcare is closed).  Small businesses must still provide paid sick leave to an employee </w:t>
      </w:r>
      <w:r w:rsidRPr="00DF3391">
        <w:rPr>
          <w:sz w:val="24"/>
        </w:rPr>
        <w:lastRenderedPageBreak/>
        <w:t xml:space="preserve">who needs leave because he or she: (1) is subject to a quarantine or an isolation order; (2) has been advised by a health care provider to self-quarantine; (3) is experiencing COVID-19 symptoms and is seeking a medical diagnosis; or (4) is caring for an individual subject to a quarantine order or has been advised to quarantine.  There is no exception for small businesses in these situations.  They are required to pay sick leave. They are only exempt from paying sick leave to those where schools or daycare facilities have closed. </w:t>
      </w:r>
    </w:p>
    <w:p w14:paraId="57AA3664" w14:textId="77777777" w:rsidR="00DF3391" w:rsidRPr="00DF3391" w:rsidRDefault="00DF3391" w:rsidP="00DF3391">
      <w:pPr>
        <w:overflowPunct/>
        <w:autoSpaceDE/>
        <w:autoSpaceDN/>
        <w:adjustRightInd/>
        <w:jc w:val="both"/>
        <w:textAlignment w:val="auto"/>
        <w:rPr>
          <w:b/>
          <w:sz w:val="24"/>
        </w:rPr>
      </w:pPr>
    </w:p>
    <w:p w14:paraId="37F5779D" w14:textId="77777777" w:rsidR="00DF3391" w:rsidRPr="00DF3391" w:rsidRDefault="00DF3391" w:rsidP="00DF3391">
      <w:pPr>
        <w:overflowPunct/>
        <w:autoSpaceDE/>
        <w:autoSpaceDN/>
        <w:adjustRightInd/>
        <w:jc w:val="both"/>
        <w:textAlignment w:val="auto"/>
        <w:rPr>
          <w:sz w:val="24"/>
        </w:rPr>
      </w:pPr>
      <w:r w:rsidRPr="00DF3391">
        <w:rPr>
          <w:b/>
          <w:i/>
          <w:sz w:val="24"/>
        </w:rPr>
        <w:t>Number of Employees</w:t>
      </w:r>
      <w:r w:rsidRPr="00DF3391">
        <w:rPr>
          <w:b/>
          <w:sz w:val="24"/>
        </w:rPr>
        <w:t xml:space="preserve">.  </w:t>
      </w:r>
      <w:r w:rsidRPr="00DF3391">
        <w:rPr>
          <w:sz w:val="24"/>
        </w:rPr>
        <w:t xml:space="preserve">The number of employees is critical since the small business exemption is available only if the employer has less than 50 employees.  Moreover, FFCRA does not apply to employers with more than 500 employees.  For these purposes, the following employees are counted: all full- and part-time employees, employees on leave, temporary employees who are jointly employed by the employer and another employer (a staffing company), and day laborers supplied by a temporary agency when the employee’s leave is taken. </w:t>
      </w:r>
    </w:p>
    <w:p w14:paraId="5EFAA158" w14:textId="77777777" w:rsidR="00DF3391" w:rsidRPr="00DF3391" w:rsidRDefault="00DF3391" w:rsidP="00DF3391">
      <w:pPr>
        <w:overflowPunct/>
        <w:autoSpaceDE/>
        <w:autoSpaceDN/>
        <w:adjustRightInd/>
        <w:jc w:val="both"/>
        <w:textAlignment w:val="auto"/>
        <w:rPr>
          <w:sz w:val="24"/>
        </w:rPr>
      </w:pPr>
    </w:p>
    <w:p w14:paraId="500C889B" w14:textId="77777777" w:rsidR="00DF3391" w:rsidRPr="00DF3391" w:rsidRDefault="00DF3391" w:rsidP="00DF3391">
      <w:pPr>
        <w:overflowPunct/>
        <w:autoSpaceDE/>
        <w:autoSpaceDN/>
        <w:adjustRightInd/>
        <w:jc w:val="both"/>
        <w:textAlignment w:val="auto"/>
        <w:rPr>
          <w:sz w:val="24"/>
        </w:rPr>
      </w:pPr>
      <w:r w:rsidRPr="00DF3391">
        <w:rPr>
          <w:b/>
          <w:sz w:val="24"/>
        </w:rPr>
        <w:t xml:space="preserve">Sick Pay Required.  </w:t>
      </w:r>
      <w:r w:rsidRPr="00DF3391">
        <w:rPr>
          <w:sz w:val="24"/>
        </w:rPr>
        <w:t xml:space="preserve">For employers with 50 but not more than 500 employees, the small business exemption is not available and sick pay is required.  FFCRA’s paid sick pay program (i.e., EPSLA </w:t>
      </w:r>
      <w:r w:rsidRPr="00DF3391">
        <w:rPr>
          <w:sz w:val="24"/>
          <w:szCs w:val="24"/>
        </w:rPr>
        <w:t>(FFCRA Act § 5101(a)))</w:t>
      </w:r>
      <w:r w:rsidRPr="00DF3391">
        <w:rPr>
          <w:sz w:val="24"/>
        </w:rPr>
        <w:t xml:space="preserve"> </w:t>
      </w:r>
      <w:r w:rsidRPr="00DF3391">
        <w:rPr>
          <w:i/>
          <w:sz w:val="24"/>
        </w:rPr>
        <w:t>requires</w:t>
      </w:r>
      <w:r w:rsidRPr="00DF3391">
        <w:rPr>
          <w:sz w:val="24"/>
        </w:rPr>
        <w:t xml:space="preserve"> covered employers (those with at least 50 and less than 500 employees) to provide all </w:t>
      </w:r>
      <w:r w:rsidRPr="00DF3391">
        <w:rPr>
          <w:b/>
          <w:sz w:val="24"/>
        </w:rPr>
        <w:t>eligible</w:t>
      </w:r>
      <w:r w:rsidRPr="00DF3391">
        <w:rPr>
          <w:sz w:val="24"/>
        </w:rPr>
        <w:t xml:space="preserve"> employees up to </w:t>
      </w:r>
      <w:r w:rsidRPr="00DF3391">
        <w:rPr>
          <w:b/>
          <w:sz w:val="24"/>
        </w:rPr>
        <w:t>2 weeks</w:t>
      </w:r>
      <w:r w:rsidRPr="00DF3391">
        <w:rPr>
          <w:sz w:val="24"/>
        </w:rPr>
        <w:t xml:space="preserve"> (10 days or 80 hours) of </w:t>
      </w:r>
      <w:r w:rsidRPr="00DF3391">
        <w:rPr>
          <w:b/>
          <w:sz w:val="24"/>
        </w:rPr>
        <w:t>paid sick leave</w:t>
      </w:r>
      <w:r w:rsidRPr="00DF3391">
        <w:rPr>
          <w:sz w:val="24"/>
        </w:rPr>
        <w:t xml:space="preserve"> at </w:t>
      </w:r>
      <w:r w:rsidRPr="00DF3391">
        <w:rPr>
          <w:b/>
          <w:sz w:val="24"/>
        </w:rPr>
        <w:t>full</w:t>
      </w:r>
      <w:r w:rsidRPr="00DF3391">
        <w:rPr>
          <w:sz w:val="24"/>
        </w:rPr>
        <w:t xml:space="preserve"> </w:t>
      </w:r>
      <w:r w:rsidRPr="00DF3391">
        <w:rPr>
          <w:b/>
          <w:sz w:val="24"/>
        </w:rPr>
        <w:t>pay</w:t>
      </w:r>
      <w:r w:rsidRPr="00DF3391">
        <w:rPr>
          <w:sz w:val="24"/>
        </w:rPr>
        <w:t xml:space="preserve">, up to a </w:t>
      </w:r>
      <w:r w:rsidRPr="00DF3391">
        <w:rPr>
          <w:b/>
          <w:sz w:val="24"/>
        </w:rPr>
        <w:t>specified cap ($511/day) or a total of $5,110 (10 days x $511/day)</w:t>
      </w:r>
      <w:r w:rsidRPr="00DF3391">
        <w:rPr>
          <w:sz w:val="24"/>
        </w:rPr>
        <w:t xml:space="preserve">,  An employee is </w:t>
      </w:r>
      <w:r w:rsidRPr="00DF3391">
        <w:rPr>
          <w:b/>
          <w:sz w:val="24"/>
        </w:rPr>
        <w:t xml:space="preserve">eligible </w:t>
      </w:r>
      <w:r w:rsidRPr="00DF3391">
        <w:rPr>
          <w:sz w:val="24"/>
        </w:rPr>
        <w:t>for sick leave payments if he or she is unable to work (or telework) because he or she:</w:t>
      </w:r>
    </w:p>
    <w:p w14:paraId="0BE181C5" w14:textId="77777777" w:rsidR="00DF3391" w:rsidRPr="00DF3391" w:rsidRDefault="00DF3391" w:rsidP="00DF3391">
      <w:pPr>
        <w:overflowPunct/>
        <w:autoSpaceDE/>
        <w:autoSpaceDN/>
        <w:adjustRightInd/>
        <w:ind w:left="900" w:hanging="450"/>
        <w:jc w:val="both"/>
        <w:textAlignment w:val="auto"/>
        <w:rPr>
          <w:szCs w:val="18"/>
        </w:rPr>
      </w:pPr>
      <w:r w:rsidRPr="00DF3391">
        <w:rPr>
          <w:szCs w:val="18"/>
        </w:rPr>
        <w:t>(1)</w:t>
      </w:r>
      <w:r w:rsidRPr="00DF3391">
        <w:rPr>
          <w:szCs w:val="18"/>
        </w:rPr>
        <w:tab/>
        <w:t xml:space="preserve">is subject to a Federal, State, or local quarantine or isolation order related to COVID-19, </w:t>
      </w:r>
    </w:p>
    <w:p w14:paraId="653C25C6" w14:textId="77777777" w:rsidR="00DF3391" w:rsidRPr="00DF3391" w:rsidRDefault="00DF3391" w:rsidP="00DF3391">
      <w:pPr>
        <w:overflowPunct/>
        <w:autoSpaceDE/>
        <w:autoSpaceDN/>
        <w:adjustRightInd/>
        <w:ind w:left="900" w:hanging="450"/>
        <w:jc w:val="both"/>
        <w:textAlignment w:val="auto"/>
        <w:rPr>
          <w:szCs w:val="18"/>
        </w:rPr>
      </w:pPr>
      <w:r w:rsidRPr="00DF3391">
        <w:rPr>
          <w:szCs w:val="18"/>
        </w:rPr>
        <w:t>(2)</w:t>
      </w:r>
      <w:r w:rsidRPr="00DF3391">
        <w:rPr>
          <w:szCs w:val="18"/>
        </w:rPr>
        <w:tab/>
        <w:t xml:space="preserve">has been advised by a health care provider to self-quarantine due to concerns related to COVID-19, </w:t>
      </w:r>
    </w:p>
    <w:p w14:paraId="4F821A82" w14:textId="77777777" w:rsidR="00DF3391" w:rsidRPr="00DF3391" w:rsidRDefault="00DF3391" w:rsidP="00DF3391">
      <w:pPr>
        <w:overflowPunct/>
        <w:autoSpaceDE/>
        <w:autoSpaceDN/>
        <w:adjustRightInd/>
        <w:ind w:left="900" w:hanging="450"/>
        <w:jc w:val="both"/>
        <w:textAlignment w:val="auto"/>
        <w:rPr>
          <w:szCs w:val="18"/>
        </w:rPr>
      </w:pPr>
      <w:r w:rsidRPr="00DF3391">
        <w:rPr>
          <w:szCs w:val="18"/>
        </w:rPr>
        <w:t>(3)</w:t>
      </w:r>
      <w:r w:rsidRPr="00DF3391">
        <w:rPr>
          <w:szCs w:val="18"/>
        </w:rPr>
        <w:tab/>
        <w:t xml:space="preserve">is experiencing symptoms of COVID-19 and seeking a medical diagnosis, </w:t>
      </w:r>
    </w:p>
    <w:p w14:paraId="4D3FD78D" w14:textId="77777777" w:rsidR="00DF3391" w:rsidRPr="00DF3391" w:rsidRDefault="00DF3391" w:rsidP="00DF3391">
      <w:pPr>
        <w:overflowPunct/>
        <w:autoSpaceDE/>
        <w:autoSpaceDN/>
        <w:adjustRightInd/>
        <w:ind w:left="900" w:hanging="450"/>
        <w:jc w:val="both"/>
        <w:textAlignment w:val="auto"/>
        <w:rPr>
          <w:szCs w:val="18"/>
        </w:rPr>
      </w:pPr>
      <w:r w:rsidRPr="00DF3391">
        <w:rPr>
          <w:szCs w:val="18"/>
        </w:rPr>
        <w:t>(4)</w:t>
      </w:r>
      <w:r w:rsidRPr="00DF3391">
        <w:rPr>
          <w:szCs w:val="18"/>
        </w:rPr>
        <w:tab/>
        <w:t>is caring for an individual who is subject to a Federal, State, or local quarantine or isolation order related to COVID-19,</w:t>
      </w:r>
    </w:p>
    <w:p w14:paraId="253D0C66" w14:textId="77777777" w:rsidR="00DF3391" w:rsidRPr="00DF3391" w:rsidRDefault="00DF3391" w:rsidP="00DF3391">
      <w:pPr>
        <w:overflowPunct/>
        <w:autoSpaceDE/>
        <w:autoSpaceDN/>
        <w:adjustRightInd/>
        <w:ind w:left="900" w:hanging="450"/>
        <w:jc w:val="both"/>
        <w:textAlignment w:val="auto"/>
        <w:rPr>
          <w:szCs w:val="18"/>
        </w:rPr>
      </w:pPr>
      <w:r w:rsidRPr="00DF3391">
        <w:rPr>
          <w:szCs w:val="18"/>
        </w:rPr>
        <w:t>(5)</w:t>
      </w:r>
      <w:r w:rsidRPr="00DF3391">
        <w:rPr>
          <w:szCs w:val="18"/>
        </w:rPr>
        <w:tab/>
        <w:t xml:space="preserve">is caring for a son or daughter under 18 because the child’s school or place of care has been closed or the </w:t>
      </w:r>
      <w:proofErr w:type="gramStart"/>
      <w:r w:rsidRPr="00DF3391">
        <w:rPr>
          <w:szCs w:val="18"/>
        </w:rPr>
        <w:t>child care</w:t>
      </w:r>
      <w:proofErr w:type="gramEnd"/>
      <w:r w:rsidRPr="00DF3391">
        <w:rPr>
          <w:szCs w:val="18"/>
        </w:rPr>
        <w:t xml:space="preserve"> provider is unavailable due to COVID-19, or</w:t>
      </w:r>
    </w:p>
    <w:p w14:paraId="3211662B" w14:textId="77777777" w:rsidR="00DF3391" w:rsidRPr="00DF3391" w:rsidRDefault="00DF3391" w:rsidP="00DF3391">
      <w:pPr>
        <w:overflowPunct/>
        <w:autoSpaceDE/>
        <w:autoSpaceDN/>
        <w:adjustRightInd/>
        <w:ind w:left="900" w:hanging="450"/>
        <w:jc w:val="both"/>
        <w:textAlignment w:val="auto"/>
        <w:rPr>
          <w:szCs w:val="18"/>
        </w:rPr>
      </w:pPr>
      <w:r w:rsidRPr="00DF3391">
        <w:rPr>
          <w:szCs w:val="18"/>
        </w:rPr>
        <w:t>(6)</w:t>
      </w:r>
      <w:r w:rsidRPr="00DF3391">
        <w:rPr>
          <w:szCs w:val="18"/>
        </w:rPr>
        <w:tab/>
        <w:t>is experiencing any other substantially similar condition specified by Health and Human Services</w:t>
      </w:r>
    </w:p>
    <w:p w14:paraId="6089538A" w14:textId="77777777" w:rsidR="00DF3391" w:rsidRPr="00DF3391" w:rsidRDefault="00DF3391" w:rsidP="00DF3391">
      <w:pPr>
        <w:overflowPunct/>
        <w:autoSpaceDE/>
        <w:autoSpaceDN/>
        <w:adjustRightInd/>
        <w:ind w:left="900" w:hanging="450"/>
        <w:jc w:val="both"/>
        <w:textAlignment w:val="auto"/>
        <w:rPr>
          <w:sz w:val="24"/>
        </w:rPr>
      </w:pPr>
    </w:p>
    <w:p w14:paraId="0F56BFC2" w14:textId="77777777" w:rsidR="00DF3391" w:rsidRPr="00DF3391" w:rsidRDefault="00DF3391" w:rsidP="00DF3391">
      <w:pPr>
        <w:overflowPunct/>
        <w:autoSpaceDE/>
        <w:autoSpaceDN/>
        <w:adjustRightInd/>
        <w:textAlignment w:val="auto"/>
        <w:rPr>
          <w:sz w:val="24"/>
        </w:rPr>
      </w:pPr>
      <w:r w:rsidRPr="00DF3391">
        <w:rPr>
          <w:b/>
          <w:sz w:val="24"/>
        </w:rPr>
        <w:t xml:space="preserve">Family and Medical Leave Payments and Sick Pay.  </w:t>
      </w:r>
      <w:r w:rsidRPr="00DF3391">
        <w:rPr>
          <w:sz w:val="24"/>
        </w:rPr>
        <w:t xml:space="preserve">FFCRA’s family and medical leave program (i.e., EFMLEA </w:t>
      </w:r>
      <w:r w:rsidRPr="00DF3391">
        <w:rPr>
          <w:sz w:val="24"/>
          <w:szCs w:val="24"/>
        </w:rPr>
        <w:t>(FFCRA Act § 3101)</w:t>
      </w:r>
      <w:r w:rsidRPr="00DF3391">
        <w:rPr>
          <w:sz w:val="24"/>
        </w:rPr>
        <w:t>) expands the benefits from 2 weeks (per EPSLA) to 10 weeks for an employee in one particular situation, i.e., he or she is unable to work (or telework) due to a need for leave to care for a son or daughter under 18 years if the school or place of care has been closed, or the child care provider of such son or daughter is unavailable.  (The IRS generally refers to wages in this case  as “qualified leave wages.”)</w:t>
      </w:r>
    </w:p>
    <w:p w14:paraId="0E073B2A" w14:textId="77777777" w:rsidR="00DF3391" w:rsidRPr="00DF3391" w:rsidRDefault="00DF3391" w:rsidP="00DF3391">
      <w:pPr>
        <w:overflowPunct/>
        <w:autoSpaceDE/>
        <w:autoSpaceDN/>
        <w:adjustRightInd/>
        <w:textAlignment w:val="auto"/>
        <w:rPr>
          <w:sz w:val="24"/>
        </w:rPr>
      </w:pPr>
      <w:r w:rsidRPr="00DF3391">
        <w:rPr>
          <w:sz w:val="24"/>
        </w:rPr>
        <w:tab/>
        <w:t>Unlike the sick pay program of EPSLA, the Medical and Family Leave program provides that the first two weeks of leave (usually ten workdays) are unpaid.  However, an employee may get paid sick leave under EPSLA, which requires two weeks of paid sick leave.  Alternatively, an employee may be able to obtain sick pay provided to the employee pursuant to the employer’s preexisting policies for these two weeks of unpaid leave (e.g., vacation pay).</w:t>
      </w:r>
    </w:p>
    <w:p w14:paraId="46756AE3" w14:textId="77777777" w:rsidR="00DF3391" w:rsidRPr="00DF3391" w:rsidRDefault="00DF3391" w:rsidP="00DF3391">
      <w:pPr>
        <w:overflowPunct/>
        <w:autoSpaceDE/>
        <w:autoSpaceDN/>
        <w:adjustRightInd/>
        <w:textAlignment w:val="auto"/>
        <w:rPr>
          <w:sz w:val="24"/>
        </w:rPr>
      </w:pPr>
      <w:r w:rsidRPr="00DF3391">
        <w:rPr>
          <w:sz w:val="24"/>
        </w:rPr>
        <w:tab/>
        <w:t>While the Medical and Family Leave program of EFMLEA does not provide paid sick leave for the first two weeks of leave, it does provide payment for the following period of up to ten weeks.  The employee must be paid sick leave at</w:t>
      </w:r>
      <w:r w:rsidRPr="00DF3391">
        <w:rPr>
          <w:b/>
          <w:sz w:val="24"/>
        </w:rPr>
        <w:t xml:space="preserve"> 2/3 of the employee’s regular rate of pay</w:t>
      </w:r>
      <w:r w:rsidRPr="00DF3391">
        <w:rPr>
          <w:sz w:val="24"/>
        </w:rPr>
        <w:t xml:space="preserve"> </w:t>
      </w:r>
      <w:r w:rsidRPr="00DF3391">
        <w:rPr>
          <w:b/>
          <w:i/>
          <w:sz w:val="24"/>
          <w:szCs w:val="24"/>
        </w:rPr>
        <w:t>up to $200 per</w:t>
      </w:r>
      <w:r w:rsidRPr="00DF3391">
        <w:rPr>
          <w:i/>
          <w:sz w:val="24"/>
          <w:szCs w:val="24"/>
        </w:rPr>
        <w:t xml:space="preserve"> </w:t>
      </w:r>
      <w:r w:rsidRPr="00DF3391">
        <w:rPr>
          <w:b/>
          <w:i/>
          <w:sz w:val="24"/>
          <w:szCs w:val="24"/>
        </w:rPr>
        <w:t>day</w:t>
      </w:r>
      <w:r w:rsidRPr="00DF3391">
        <w:rPr>
          <w:i/>
          <w:sz w:val="24"/>
          <w:szCs w:val="24"/>
        </w:rPr>
        <w:t xml:space="preserve">. </w:t>
      </w:r>
      <w:r w:rsidRPr="00DF3391">
        <w:rPr>
          <w:sz w:val="24"/>
        </w:rPr>
        <w:t xml:space="preserve"> The total EFMLEA payment per employee for this ten-week period is </w:t>
      </w:r>
      <w:r w:rsidRPr="00DF3391">
        <w:rPr>
          <w:b/>
          <w:sz w:val="24"/>
        </w:rPr>
        <w:t>capped at $10,000</w:t>
      </w:r>
      <w:r w:rsidRPr="00DF3391">
        <w:rPr>
          <w:sz w:val="24"/>
        </w:rPr>
        <w:t xml:space="preserve"> in the aggregate.  As a result, assuming the employee could obtain two weeks of paid leave taken under EPSLA (10 days x $200 = $2,000) and $10,000 under EFMLEA, the total potential sick pay is $12,000.  </w:t>
      </w:r>
      <w:r w:rsidRPr="00DF3391">
        <w:rPr>
          <w:sz w:val="24"/>
          <w:szCs w:val="24"/>
        </w:rPr>
        <w:t>As noted above, a</w:t>
      </w:r>
      <w:r w:rsidRPr="00DF3391">
        <w:rPr>
          <w:sz w:val="24"/>
        </w:rPr>
        <w:t xml:space="preserve">n eligible employee may elect to use (or an </w:t>
      </w:r>
      <w:r w:rsidRPr="00DF3391">
        <w:rPr>
          <w:sz w:val="24"/>
        </w:rPr>
        <w:lastRenderedPageBreak/>
        <w:t>employer may require that an employee use), expanded family and medical leave concurrently with any leave offered under the employer’s other policies that would be available for the employee to take to care for his or her child, such as policies for vacation or personal leave or paid time off.</w:t>
      </w:r>
    </w:p>
    <w:p w14:paraId="21925BE3" w14:textId="77777777" w:rsidR="00DF3391" w:rsidRPr="00DF3391" w:rsidRDefault="00DF3391" w:rsidP="00DF3391">
      <w:pPr>
        <w:overflowPunct/>
        <w:autoSpaceDE/>
        <w:autoSpaceDN/>
        <w:adjustRightInd/>
        <w:textAlignment w:val="auto"/>
        <w:rPr>
          <w:sz w:val="24"/>
        </w:rPr>
      </w:pPr>
    </w:p>
    <w:p w14:paraId="06DBC9A4" w14:textId="77777777" w:rsidR="00DF3391" w:rsidRPr="00DF3391" w:rsidRDefault="00DF3391" w:rsidP="00DF3391">
      <w:pPr>
        <w:overflowPunct/>
        <w:autoSpaceDE/>
        <w:autoSpaceDN/>
        <w:adjustRightInd/>
        <w:textAlignment w:val="auto"/>
        <w:rPr>
          <w:sz w:val="24"/>
        </w:rPr>
      </w:pPr>
      <w:r w:rsidRPr="00DF3391">
        <w:rPr>
          <w:b/>
          <w:i/>
          <w:sz w:val="24"/>
        </w:rPr>
        <w:t>Employer Social Security Taxes on Qualified Wages.</w:t>
      </w:r>
      <w:r w:rsidRPr="00DF3391">
        <w:rPr>
          <w:b/>
          <w:sz w:val="24"/>
        </w:rPr>
        <w:t xml:space="preserve"> </w:t>
      </w:r>
      <w:r w:rsidRPr="00DF3391">
        <w:rPr>
          <w:sz w:val="24"/>
        </w:rPr>
        <w:t xml:space="preserve"> The qualified family leave wages are not subject to the employer portion of social security tax. </w:t>
      </w:r>
    </w:p>
    <w:p w14:paraId="38D35891" w14:textId="77777777" w:rsidR="00DF3391" w:rsidRPr="00DF3391" w:rsidRDefault="00DF3391" w:rsidP="00DF3391">
      <w:pPr>
        <w:overflowPunct/>
        <w:autoSpaceDE/>
        <w:autoSpaceDN/>
        <w:adjustRightInd/>
        <w:textAlignment w:val="auto"/>
        <w:rPr>
          <w:b/>
          <w:sz w:val="24"/>
        </w:rPr>
      </w:pPr>
    </w:p>
    <w:p w14:paraId="1EF9912A" w14:textId="59321ED1" w:rsidR="00DF3391" w:rsidRPr="00DF3391" w:rsidRDefault="00DF3391" w:rsidP="00DF3391">
      <w:pPr>
        <w:overflowPunct/>
        <w:autoSpaceDE/>
        <w:autoSpaceDN/>
        <w:adjustRightInd/>
        <w:textAlignment w:val="auto"/>
        <w:rPr>
          <w:sz w:val="24"/>
        </w:rPr>
      </w:pPr>
      <w:r w:rsidRPr="00DF3391">
        <w:rPr>
          <w:b/>
          <w:sz w:val="24"/>
        </w:rPr>
        <w:t>Summary Tables</w:t>
      </w:r>
      <w:r w:rsidR="000C59AF">
        <w:rPr>
          <w:b/>
          <w:sz w:val="24"/>
        </w:rPr>
        <w:t>: Sick Pay and Family and Medical Leave</w:t>
      </w:r>
      <w:r w:rsidRPr="00DF3391">
        <w:rPr>
          <w:b/>
          <w:sz w:val="24"/>
        </w:rPr>
        <w:t xml:space="preserve">.  </w:t>
      </w:r>
      <w:r w:rsidRPr="00DF3391">
        <w:rPr>
          <w:sz w:val="24"/>
        </w:rPr>
        <w:t xml:space="preserve">These two programs are summarized below and a similar table on the next page.  Note that the table on the following page also identifies the credit that an employer can get for sick pay.  This is discussed later below. </w:t>
      </w:r>
    </w:p>
    <w:p w14:paraId="6742AD9B" w14:textId="77777777" w:rsidR="00DF3391" w:rsidRPr="00DF3391" w:rsidRDefault="00DF3391" w:rsidP="00DF3391">
      <w:pPr>
        <w:overflowPunct/>
        <w:autoSpaceDE/>
        <w:autoSpaceDN/>
        <w:adjustRightInd/>
        <w:textAlignment w:val="auto"/>
        <w:rPr>
          <w:sz w:val="24"/>
        </w:rPr>
      </w:pPr>
    </w:p>
    <w:p w14:paraId="040AF9BD" w14:textId="77777777" w:rsidR="00DF3391" w:rsidRPr="00DF3391" w:rsidRDefault="00DF3391" w:rsidP="00DF3391">
      <w:pPr>
        <w:tabs>
          <w:tab w:val="left" w:pos="600"/>
        </w:tabs>
        <w:overflowPunct/>
        <w:autoSpaceDE/>
        <w:autoSpaceDN/>
        <w:adjustRightInd/>
        <w:spacing w:line="240" w:lineRule="atLeast"/>
        <w:ind w:left="300" w:hanging="300"/>
        <w:jc w:val="both"/>
        <w:textAlignment w:val="auto"/>
        <w:outlineLvl w:val="0"/>
        <w:rPr>
          <w:sz w:val="24"/>
        </w:rPr>
      </w:pPr>
    </w:p>
    <w:tbl>
      <w:tblPr>
        <w:tblStyle w:val="TableGrid"/>
        <w:tblW w:w="0" w:type="auto"/>
        <w:tblInd w:w="-5" w:type="dxa"/>
        <w:tblBorders>
          <w:right w:val="none" w:sz="0" w:space="0" w:color="auto"/>
        </w:tblBorders>
        <w:tblLook w:val="04A0" w:firstRow="1" w:lastRow="0" w:firstColumn="1" w:lastColumn="0" w:noHBand="0" w:noVBand="1"/>
      </w:tblPr>
      <w:tblGrid>
        <w:gridCol w:w="4950"/>
        <w:gridCol w:w="4405"/>
      </w:tblGrid>
      <w:tr w:rsidR="00DF3391" w:rsidRPr="00DF3391" w14:paraId="73F78AB6" w14:textId="77777777" w:rsidTr="008874D2">
        <w:tc>
          <w:tcPr>
            <w:tcW w:w="4950" w:type="dxa"/>
          </w:tcPr>
          <w:p w14:paraId="341B86C0" w14:textId="77777777" w:rsidR="00DF3391" w:rsidRPr="00DF3391" w:rsidRDefault="00DF3391" w:rsidP="00DF3391">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DF3391">
              <w:rPr>
                <w:rFonts w:ascii="Times New Roman" w:hAnsi="Times New Roman"/>
                <w:b/>
                <w:sz w:val="32"/>
              </w:rPr>
              <w:t xml:space="preserve">Sick pay </w:t>
            </w:r>
          </w:p>
          <w:p w14:paraId="1F0D4B58" w14:textId="77777777" w:rsidR="00DF3391" w:rsidRPr="00DF3391" w:rsidRDefault="00DF3391" w:rsidP="00DF3391">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DF3391">
              <w:rPr>
                <w:rFonts w:ascii="Times New Roman" w:hAnsi="Times New Roman"/>
                <w:b/>
                <w:sz w:val="32"/>
              </w:rPr>
              <w:t>(EPSLA)</w:t>
            </w:r>
          </w:p>
        </w:tc>
        <w:tc>
          <w:tcPr>
            <w:tcW w:w="4405" w:type="dxa"/>
            <w:shd w:val="clear" w:color="auto" w:fill="F2F2F2" w:themeFill="background1" w:themeFillShade="F2"/>
          </w:tcPr>
          <w:p w14:paraId="5C102F68" w14:textId="77777777" w:rsidR="00DF3391" w:rsidRPr="00DF3391" w:rsidRDefault="00DF3391" w:rsidP="00DF3391">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DF3391">
              <w:rPr>
                <w:rFonts w:ascii="Times New Roman" w:hAnsi="Times New Roman"/>
                <w:b/>
                <w:sz w:val="32"/>
              </w:rPr>
              <w:t>Family and Medical Leave (EFMLEA)</w:t>
            </w:r>
          </w:p>
        </w:tc>
      </w:tr>
      <w:tr w:rsidR="00DF3391" w:rsidRPr="00DF3391" w14:paraId="7953966B" w14:textId="77777777" w:rsidTr="008874D2">
        <w:tc>
          <w:tcPr>
            <w:tcW w:w="4950" w:type="dxa"/>
          </w:tcPr>
          <w:p w14:paraId="7A915177" w14:textId="77777777" w:rsidR="00DF3391" w:rsidRPr="00DF3391" w:rsidRDefault="00DF3391" w:rsidP="00DF3391">
            <w:pPr>
              <w:tabs>
                <w:tab w:val="left" w:pos="600"/>
              </w:tabs>
              <w:overflowPunct/>
              <w:autoSpaceDE/>
              <w:autoSpaceDN/>
              <w:adjustRightInd/>
              <w:spacing w:line="240" w:lineRule="atLeast"/>
              <w:ind w:left="300" w:hanging="300"/>
              <w:jc w:val="center"/>
              <w:textAlignment w:val="auto"/>
              <w:outlineLvl w:val="0"/>
              <w:rPr>
                <w:rFonts w:ascii="Times New Roman" w:hAnsi="Times New Roman"/>
                <w:sz w:val="24"/>
              </w:rPr>
            </w:pPr>
            <w:r w:rsidRPr="00DF3391">
              <w:rPr>
                <w:rFonts w:ascii="Times New Roman" w:hAnsi="Times New Roman"/>
                <w:sz w:val="24"/>
              </w:rPr>
              <w:t>Employee unable to work or telework due to</w:t>
            </w:r>
          </w:p>
        </w:tc>
        <w:tc>
          <w:tcPr>
            <w:tcW w:w="4405" w:type="dxa"/>
            <w:shd w:val="clear" w:color="auto" w:fill="F2F2F2" w:themeFill="background1" w:themeFillShade="F2"/>
          </w:tcPr>
          <w:p w14:paraId="33EF2B0E" w14:textId="77777777" w:rsidR="00DF3391" w:rsidRPr="00DF3391" w:rsidRDefault="00DF3391" w:rsidP="00DF3391">
            <w:pPr>
              <w:tabs>
                <w:tab w:val="left" w:pos="600"/>
              </w:tabs>
              <w:overflowPunct/>
              <w:autoSpaceDE/>
              <w:autoSpaceDN/>
              <w:adjustRightInd/>
              <w:spacing w:line="240" w:lineRule="atLeast"/>
              <w:ind w:left="300" w:hanging="300"/>
              <w:jc w:val="both"/>
              <w:textAlignment w:val="auto"/>
              <w:outlineLvl w:val="0"/>
              <w:rPr>
                <w:rFonts w:ascii="Times New Roman" w:hAnsi="Times New Roman"/>
                <w:sz w:val="24"/>
              </w:rPr>
            </w:pPr>
            <w:r w:rsidRPr="00DF3391">
              <w:rPr>
                <w:rFonts w:ascii="Times New Roman" w:hAnsi="Times New Roman"/>
                <w:sz w:val="24"/>
              </w:rPr>
              <w:t>Employee unable to work (telework) due to</w:t>
            </w:r>
          </w:p>
        </w:tc>
      </w:tr>
      <w:tr w:rsidR="00DF3391" w:rsidRPr="00DF3391" w14:paraId="270FC923" w14:textId="77777777" w:rsidTr="008874D2">
        <w:trPr>
          <w:trHeight w:val="404"/>
        </w:trPr>
        <w:tc>
          <w:tcPr>
            <w:tcW w:w="4950" w:type="dxa"/>
          </w:tcPr>
          <w:p w14:paraId="16BE7B03" w14:textId="77777777" w:rsidR="00DF3391" w:rsidRPr="00DF3391" w:rsidRDefault="00DF3391" w:rsidP="00DF3391">
            <w:pPr>
              <w:tabs>
                <w:tab w:val="left" w:pos="397"/>
              </w:tabs>
              <w:overflowPunct/>
              <w:autoSpaceDE/>
              <w:autoSpaceDN/>
              <w:adjustRightInd/>
              <w:spacing w:line="240" w:lineRule="atLeast"/>
              <w:ind w:left="397" w:hanging="397"/>
              <w:textAlignment w:val="auto"/>
              <w:outlineLvl w:val="0"/>
              <w:rPr>
                <w:rFonts w:ascii="Times New Roman" w:hAnsi="Times New Roman"/>
              </w:rPr>
            </w:pPr>
            <w:r w:rsidRPr="00DF3391">
              <w:rPr>
                <w:rFonts w:ascii="Times New Roman" w:hAnsi="Times New Roman"/>
              </w:rPr>
              <w:t>1.</w:t>
            </w:r>
            <w:r w:rsidRPr="00DF3391">
              <w:rPr>
                <w:rFonts w:ascii="Times New Roman" w:hAnsi="Times New Roman"/>
              </w:rPr>
              <w:tab/>
              <w:t xml:space="preserve">Federal, state, local </w:t>
            </w:r>
            <w:proofErr w:type="gramStart"/>
            <w:r w:rsidRPr="00DF3391">
              <w:rPr>
                <w:rFonts w:ascii="Times New Roman" w:hAnsi="Times New Roman"/>
              </w:rPr>
              <w:t>quarantine</w:t>
            </w:r>
            <w:proofErr w:type="gramEnd"/>
            <w:r w:rsidRPr="00DF3391">
              <w:rPr>
                <w:rFonts w:ascii="Times New Roman" w:hAnsi="Times New Roman"/>
              </w:rPr>
              <w:t xml:space="preserve"> or isolation order</w:t>
            </w:r>
          </w:p>
        </w:tc>
        <w:tc>
          <w:tcPr>
            <w:tcW w:w="4405" w:type="dxa"/>
            <w:shd w:val="clear" w:color="auto" w:fill="F2F2F2" w:themeFill="background1" w:themeFillShade="F2"/>
          </w:tcPr>
          <w:p w14:paraId="2481EA8C" w14:textId="77777777" w:rsidR="00DF3391" w:rsidRPr="00DF3391" w:rsidRDefault="00DF3391" w:rsidP="00DF3391">
            <w:pPr>
              <w:tabs>
                <w:tab w:val="left" w:pos="600"/>
              </w:tabs>
              <w:overflowPunct/>
              <w:autoSpaceDE/>
              <w:autoSpaceDN/>
              <w:adjustRightInd/>
              <w:spacing w:line="240" w:lineRule="atLeast"/>
              <w:ind w:left="300" w:hanging="300"/>
              <w:jc w:val="both"/>
              <w:textAlignment w:val="auto"/>
              <w:outlineLvl w:val="0"/>
              <w:rPr>
                <w:rFonts w:ascii="Times New Roman" w:hAnsi="Times New Roman"/>
              </w:rPr>
            </w:pPr>
            <w:r w:rsidRPr="00DF3391">
              <w:rPr>
                <w:rFonts w:ascii="Times New Roman" w:hAnsi="Times New Roman"/>
              </w:rPr>
              <w:t>Must be employed (on payroll) for 30 days</w:t>
            </w:r>
          </w:p>
        </w:tc>
      </w:tr>
      <w:tr w:rsidR="00DF3391" w:rsidRPr="00DF3391" w14:paraId="7DCC9064" w14:textId="77777777" w:rsidTr="008874D2">
        <w:tc>
          <w:tcPr>
            <w:tcW w:w="4950" w:type="dxa"/>
          </w:tcPr>
          <w:p w14:paraId="23A41A1C" w14:textId="77777777" w:rsidR="00DF3391" w:rsidRPr="00DF3391" w:rsidRDefault="00DF3391" w:rsidP="00DF3391">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DF3391">
              <w:rPr>
                <w:rFonts w:ascii="Times New Roman" w:hAnsi="Times New Roman"/>
              </w:rPr>
              <w:t>2.</w:t>
            </w:r>
            <w:r w:rsidRPr="00DF3391">
              <w:rPr>
                <w:rFonts w:ascii="Times New Roman" w:hAnsi="Times New Roman"/>
              </w:rPr>
              <w:tab/>
              <w:t>Self quarantining under advice of healthcare provider due to Covid-19 concerns</w:t>
            </w:r>
          </w:p>
        </w:tc>
        <w:tc>
          <w:tcPr>
            <w:tcW w:w="4405" w:type="dxa"/>
            <w:shd w:val="clear" w:color="auto" w:fill="F2F2F2" w:themeFill="background1" w:themeFillShade="F2"/>
          </w:tcPr>
          <w:p w14:paraId="698A6834" w14:textId="77777777" w:rsidR="00DF3391" w:rsidRPr="00DF3391" w:rsidRDefault="00DF3391" w:rsidP="00DF3391">
            <w:pPr>
              <w:tabs>
                <w:tab w:val="left" w:pos="600"/>
              </w:tabs>
              <w:overflowPunct/>
              <w:autoSpaceDE/>
              <w:autoSpaceDN/>
              <w:adjustRightInd/>
              <w:spacing w:line="240" w:lineRule="atLeast"/>
              <w:jc w:val="both"/>
              <w:textAlignment w:val="auto"/>
              <w:outlineLvl w:val="0"/>
              <w:rPr>
                <w:rFonts w:ascii="Times New Roman" w:hAnsi="Times New Roman"/>
              </w:rPr>
            </w:pPr>
            <w:r w:rsidRPr="00DF3391">
              <w:rPr>
                <w:rFonts w:ascii="Times New Roman" w:hAnsi="Times New Roman"/>
              </w:rPr>
              <w:t>1. Caring for child if school closed</w:t>
            </w:r>
          </w:p>
        </w:tc>
      </w:tr>
      <w:tr w:rsidR="00DF3391" w:rsidRPr="00DF3391" w14:paraId="04295384" w14:textId="77777777" w:rsidTr="008874D2">
        <w:tc>
          <w:tcPr>
            <w:tcW w:w="4950" w:type="dxa"/>
          </w:tcPr>
          <w:p w14:paraId="2BCC560C" w14:textId="77777777" w:rsidR="00DF3391" w:rsidRPr="00DF3391" w:rsidRDefault="00DF3391" w:rsidP="00DF3391">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DF3391">
              <w:rPr>
                <w:rFonts w:ascii="Times New Roman" w:hAnsi="Times New Roman"/>
              </w:rPr>
              <w:t xml:space="preserve">3. </w:t>
            </w:r>
            <w:r w:rsidRPr="00DF3391">
              <w:rPr>
                <w:rFonts w:ascii="Times New Roman" w:hAnsi="Times New Roman"/>
              </w:rPr>
              <w:tab/>
              <w:t>Obtaining diagnosis due to Covid-19 symptoms</w:t>
            </w:r>
          </w:p>
        </w:tc>
        <w:tc>
          <w:tcPr>
            <w:tcW w:w="4405" w:type="dxa"/>
            <w:shd w:val="clear" w:color="auto" w:fill="F2F2F2" w:themeFill="background1" w:themeFillShade="F2"/>
          </w:tcPr>
          <w:p w14:paraId="590DDECD" w14:textId="77777777" w:rsidR="00DF3391" w:rsidRPr="00DF3391" w:rsidRDefault="00DF3391" w:rsidP="00DF3391">
            <w:pPr>
              <w:tabs>
                <w:tab w:val="left" w:pos="600"/>
              </w:tabs>
              <w:overflowPunct/>
              <w:autoSpaceDE/>
              <w:autoSpaceDN/>
              <w:adjustRightInd/>
              <w:spacing w:line="240" w:lineRule="atLeast"/>
              <w:jc w:val="both"/>
              <w:textAlignment w:val="auto"/>
              <w:outlineLvl w:val="0"/>
              <w:rPr>
                <w:rFonts w:ascii="Times New Roman" w:hAnsi="Times New Roman"/>
              </w:rPr>
            </w:pPr>
            <w:r w:rsidRPr="00DF3391">
              <w:rPr>
                <w:rFonts w:ascii="Times New Roman" w:hAnsi="Times New Roman"/>
              </w:rPr>
              <w:t xml:space="preserve">2. Caring for child if </w:t>
            </w:r>
            <w:proofErr w:type="gramStart"/>
            <w:r w:rsidRPr="00DF3391">
              <w:rPr>
                <w:rFonts w:ascii="Times New Roman" w:hAnsi="Times New Roman"/>
              </w:rPr>
              <w:t>child care</w:t>
            </w:r>
            <w:proofErr w:type="gramEnd"/>
            <w:r w:rsidRPr="00DF3391">
              <w:rPr>
                <w:rFonts w:ascii="Times New Roman" w:hAnsi="Times New Roman"/>
              </w:rPr>
              <w:t xml:space="preserve"> provider closed or unavailable due to Covid-19</w:t>
            </w:r>
          </w:p>
        </w:tc>
      </w:tr>
      <w:tr w:rsidR="00DF3391" w:rsidRPr="00DF3391" w14:paraId="761F8EC4" w14:textId="77777777" w:rsidTr="008874D2">
        <w:tc>
          <w:tcPr>
            <w:tcW w:w="4950" w:type="dxa"/>
          </w:tcPr>
          <w:p w14:paraId="407597CA" w14:textId="77777777" w:rsidR="00DF3391" w:rsidRPr="00DF3391" w:rsidRDefault="00DF3391" w:rsidP="00DF3391">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DF3391">
              <w:rPr>
                <w:rFonts w:ascii="Times New Roman" w:hAnsi="Times New Roman"/>
              </w:rPr>
              <w:t xml:space="preserve">4. </w:t>
            </w:r>
            <w:r w:rsidRPr="00DF3391">
              <w:rPr>
                <w:rFonts w:ascii="Times New Roman" w:hAnsi="Times New Roman"/>
              </w:rPr>
              <w:tab/>
              <w:t>Assisting a family member quarantined under order or advice of healthcare provider</w:t>
            </w:r>
          </w:p>
        </w:tc>
        <w:tc>
          <w:tcPr>
            <w:tcW w:w="4405" w:type="dxa"/>
            <w:shd w:val="clear" w:color="auto" w:fill="F2F2F2" w:themeFill="background1" w:themeFillShade="F2"/>
          </w:tcPr>
          <w:p w14:paraId="7A4CF9FE" w14:textId="77777777" w:rsidR="00DF3391" w:rsidRPr="00DF3391" w:rsidRDefault="00DF3391" w:rsidP="00DF3391">
            <w:pPr>
              <w:tabs>
                <w:tab w:val="left" w:pos="600"/>
              </w:tabs>
              <w:overflowPunct/>
              <w:autoSpaceDE/>
              <w:autoSpaceDN/>
              <w:adjustRightInd/>
              <w:spacing w:line="240" w:lineRule="atLeast"/>
              <w:jc w:val="both"/>
              <w:textAlignment w:val="auto"/>
              <w:outlineLvl w:val="0"/>
              <w:rPr>
                <w:rFonts w:ascii="Times New Roman" w:hAnsi="Times New Roman"/>
              </w:rPr>
            </w:pPr>
          </w:p>
        </w:tc>
      </w:tr>
      <w:tr w:rsidR="00DF3391" w:rsidRPr="00DF3391" w14:paraId="07E049E4" w14:textId="77777777" w:rsidTr="008874D2">
        <w:tc>
          <w:tcPr>
            <w:tcW w:w="4950" w:type="dxa"/>
          </w:tcPr>
          <w:p w14:paraId="33B4DB08" w14:textId="77777777" w:rsidR="00DF3391" w:rsidRPr="00DF3391" w:rsidRDefault="00DF3391" w:rsidP="00DF3391">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DF3391">
              <w:rPr>
                <w:rFonts w:ascii="Times New Roman" w:hAnsi="Times New Roman"/>
              </w:rPr>
              <w:t xml:space="preserve">5. </w:t>
            </w:r>
            <w:r w:rsidRPr="00DF3391">
              <w:rPr>
                <w:rFonts w:ascii="Times New Roman" w:hAnsi="Times New Roman"/>
              </w:rPr>
              <w:tab/>
              <w:t xml:space="preserve">Caring for child if school closed or </w:t>
            </w:r>
            <w:proofErr w:type="gramStart"/>
            <w:r w:rsidRPr="00DF3391">
              <w:rPr>
                <w:rFonts w:ascii="Times New Roman" w:hAnsi="Times New Roman"/>
              </w:rPr>
              <w:t>child care</w:t>
            </w:r>
            <w:proofErr w:type="gramEnd"/>
            <w:r w:rsidRPr="00DF3391">
              <w:rPr>
                <w:rFonts w:ascii="Times New Roman" w:hAnsi="Times New Roman"/>
              </w:rPr>
              <w:t xml:space="preserve"> provider closed or unavailable due to Covid-19</w:t>
            </w:r>
          </w:p>
        </w:tc>
        <w:tc>
          <w:tcPr>
            <w:tcW w:w="4405" w:type="dxa"/>
            <w:shd w:val="clear" w:color="auto" w:fill="F2F2F2" w:themeFill="background1" w:themeFillShade="F2"/>
          </w:tcPr>
          <w:p w14:paraId="3C43960D" w14:textId="77777777" w:rsidR="00DF3391" w:rsidRPr="00DF3391" w:rsidRDefault="00DF3391" w:rsidP="00DF3391">
            <w:pPr>
              <w:tabs>
                <w:tab w:val="left" w:pos="600"/>
              </w:tabs>
              <w:overflowPunct/>
              <w:autoSpaceDE/>
              <w:autoSpaceDN/>
              <w:adjustRightInd/>
              <w:spacing w:line="240" w:lineRule="atLeast"/>
              <w:jc w:val="both"/>
              <w:textAlignment w:val="auto"/>
              <w:outlineLvl w:val="0"/>
              <w:rPr>
                <w:rFonts w:ascii="Times New Roman" w:hAnsi="Times New Roman"/>
              </w:rPr>
            </w:pPr>
          </w:p>
        </w:tc>
      </w:tr>
      <w:tr w:rsidR="00DF3391" w:rsidRPr="00DF3391" w14:paraId="4ED05E96" w14:textId="77777777" w:rsidTr="008874D2">
        <w:tc>
          <w:tcPr>
            <w:tcW w:w="4950" w:type="dxa"/>
          </w:tcPr>
          <w:p w14:paraId="427F6926" w14:textId="77777777" w:rsidR="00DF3391" w:rsidRPr="00DF3391" w:rsidRDefault="00DF3391" w:rsidP="00DF3391">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DF3391">
              <w:rPr>
                <w:rFonts w:ascii="Times New Roman" w:hAnsi="Times New Roman"/>
              </w:rPr>
              <w:t xml:space="preserve">6. </w:t>
            </w:r>
            <w:r w:rsidRPr="00DF3391">
              <w:rPr>
                <w:rFonts w:ascii="Times New Roman" w:hAnsi="Times New Roman"/>
              </w:rPr>
              <w:tab/>
              <w:t>Additional  categories added by HHS</w:t>
            </w:r>
          </w:p>
        </w:tc>
        <w:tc>
          <w:tcPr>
            <w:tcW w:w="4405" w:type="dxa"/>
            <w:shd w:val="clear" w:color="auto" w:fill="F2F2F2" w:themeFill="background1" w:themeFillShade="F2"/>
          </w:tcPr>
          <w:p w14:paraId="2CF1AEEC" w14:textId="77777777" w:rsidR="00DF3391" w:rsidRPr="00DF3391" w:rsidRDefault="00DF3391" w:rsidP="00DF3391">
            <w:pPr>
              <w:tabs>
                <w:tab w:val="left" w:pos="600"/>
              </w:tabs>
              <w:overflowPunct/>
              <w:autoSpaceDE/>
              <w:autoSpaceDN/>
              <w:adjustRightInd/>
              <w:spacing w:line="240" w:lineRule="atLeast"/>
              <w:jc w:val="both"/>
              <w:textAlignment w:val="auto"/>
              <w:outlineLvl w:val="0"/>
              <w:rPr>
                <w:rFonts w:ascii="Times New Roman" w:hAnsi="Times New Roman"/>
              </w:rPr>
            </w:pPr>
          </w:p>
        </w:tc>
      </w:tr>
    </w:tbl>
    <w:p w14:paraId="2AC98BF1" w14:textId="77777777" w:rsidR="00DF3391" w:rsidRPr="00DF3391" w:rsidRDefault="00DF3391" w:rsidP="00DF3391">
      <w:pPr>
        <w:tabs>
          <w:tab w:val="left" w:pos="600"/>
        </w:tabs>
        <w:overflowPunct/>
        <w:autoSpaceDE/>
        <w:autoSpaceDN/>
        <w:adjustRightInd/>
        <w:spacing w:line="240" w:lineRule="atLeast"/>
        <w:ind w:left="300" w:hanging="300"/>
        <w:jc w:val="both"/>
        <w:textAlignment w:val="auto"/>
        <w:outlineLvl w:val="0"/>
        <w:rPr>
          <w:sz w:val="24"/>
        </w:rPr>
      </w:pPr>
    </w:p>
    <w:tbl>
      <w:tblPr>
        <w:tblStyle w:val="TableGrid"/>
        <w:tblW w:w="0" w:type="auto"/>
        <w:tblInd w:w="-5" w:type="dxa"/>
        <w:tblLook w:val="04A0" w:firstRow="1" w:lastRow="0" w:firstColumn="1" w:lastColumn="0" w:noHBand="0" w:noVBand="1"/>
      </w:tblPr>
      <w:tblGrid>
        <w:gridCol w:w="4950"/>
        <w:gridCol w:w="4405"/>
      </w:tblGrid>
      <w:tr w:rsidR="00DF3391" w:rsidRPr="00DF3391" w14:paraId="6ACBA6E8" w14:textId="77777777" w:rsidTr="008874D2">
        <w:tc>
          <w:tcPr>
            <w:tcW w:w="4950" w:type="dxa"/>
          </w:tcPr>
          <w:p w14:paraId="110A622A" w14:textId="77777777" w:rsidR="00DF3391" w:rsidRPr="00DF3391" w:rsidRDefault="00DF3391" w:rsidP="00DF3391">
            <w:pPr>
              <w:tabs>
                <w:tab w:val="left" w:pos="600"/>
              </w:tabs>
              <w:overflowPunct/>
              <w:autoSpaceDE/>
              <w:autoSpaceDN/>
              <w:adjustRightInd/>
              <w:spacing w:line="240" w:lineRule="atLeast"/>
              <w:jc w:val="center"/>
              <w:textAlignment w:val="auto"/>
              <w:outlineLvl w:val="0"/>
              <w:rPr>
                <w:rFonts w:ascii="Times New Roman" w:hAnsi="Times New Roman"/>
                <w:b/>
                <w:sz w:val="28"/>
              </w:rPr>
            </w:pPr>
            <w:r w:rsidRPr="00DF3391">
              <w:rPr>
                <w:rFonts w:ascii="Times New Roman" w:hAnsi="Times New Roman"/>
                <w:b/>
                <w:sz w:val="28"/>
              </w:rPr>
              <w:t xml:space="preserve">Amount of </w:t>
            </w:r>
            <w:r w:rsidRPr="00DF3391">
              <w:rPr>
                <w:rFonts w:ascii="Times New Roman" w:hAnsi="Times New Roman"/>
                <w:b/>
                <w:sz w:val="28"/>
              </w:rPr>
              <w:br/>
              <w:t xml:space="preserve">Sick Pay </w:t>
            </w:r>
          </w:p>
        </w:tc>
        <w:tc>
          <w:tcPr>
            <w:tcW w:w="4405" w:type="dxa"/>
            <w:shd w:val="clear" w:color="auto" w:fill="F2F2F2" w:themeFill="background1" w:themeFillShade="F2"/>
          </w:tcPr>
          <w:p w14:paraId="56648EEB" w14:textId="77777777" w:rsidR="00DF3391" w:rsidRPr="00DF3391" w:rsidRDefault="00DF3391" w:rsidP="00DF3391">
            <w:pPr>
              <w:tabs>
                <w:tab w:val="left" w:pos="600"/>
              </w:tabs>
              <w:overflowPunct/>
              <w:autoSpaceDE/>
              <w:autoSpaceDN/>
              <w:adjustRightInd/>
              <w:spacing w:line="240" w:lineRule="atLeast"/>
              <w:jc w:val="center"/>
              <w:textAlignment w:val="auto"/>
              <w:outlineLvl w:val="0"/>
              <w:rPr>
                <w:rFonts w:ascii="Times New Roman" w:hAnsi="Times New Roman"/>
                <w:b/>
                <w:sz w:val="28"/>
              </w:rPr>
            </w:pPr>
            <w:r w:rsidRPr="00DF3391">
              <w:rPr>
                <w:rFonts w:ascii="Times New Roman" w:hAnsi="Times New Roman"/>
                <w:b/>
                <w:sz w:val="28"/>
              </w:rPr>
              <w:t xml:space="preserve">Amount of </w:t>
            </w:r>
            <w:r w:rsidRPr="00DF3391">
              <w:rPr>
                <w:rFonts w:ascii="Times New Roman" w:hAnsi="Times New Roman"/>
                <w:b/>
                <w:sz w:val="28"/>
              </w:rPr>
              <w:br/>
              <w:t xml:space="preserve">Family and Medical Leave Pay </w:t>
            </w:r>
          </w:p>
        </w:tc>
      </w:tr>
      <w:tr w:rsidR="00DF3391" w:rsidRPr="00DF3391" w14:paraId="53202E96" w14:textId="77777777" w:rsidTr="008874D2">
        <w:tc>
          <w:tcPr>
            <w:tcW w:w="4950" w:type="dxa"/>
          </w:tcPr>
          <w:p w14:paraId="21CF14CF" w14:textId="77777777" w:rsidR="00DF3391" w:rsidRPr="00DF3391" w:rsidRDefault="00DF3391" w:rsidP="00DF3391">
            <w:pPr>
              <w:tabs>
                <w:tab w:val="left" w:pos="600"/>
              </w:tabs>
              <w:overflowPunct/>
              <w:autoSpaceDE/>
              <w:autoSpaceDN/>
              <w:adjustRightInd/>
              <w:spacing w:line="240" w:lineRule="atLeast"/>
              <w:ind w:left="300" w:hanging="300"/>
              <w:jc w:val="both"/>
              <w:textAlignment w:val="auto"/>
              <w:outlineLvl w:val="0"/>
              <w:rPr>
                <w:rFonts w:ascii="Times New Roman" w:hAnsi="Times New Roman"/>
                <w:sz w:val="20"/>
              </w:rPr>
            </w:pPr>
            <w:r w:rsidRPr="00DF3391">
              <w:rPr>
                <w:rFonts w:ascii="Times New Roman" w:hAnsi="Times New Roman"/>
                <w:sz w:val="20"/>
              </w:rPr>
              <w:t>1. Up to 2 weeks (80 hours) sick leave, maximum of $511 per day capped at $5,110 total.</w:t>
            </w:r>
          </w:p>
        </w:tc>
        <w:tc>
          <w:tcPr>
            <w:tcW w:w="4405" w:type="dxa"/>
            <w:shd w:val="clear" w:color="auto" w:fill="F2F2F2" w:themeFill="background1" w:themeFillShade="F2"/>
          </w:tcPr>
          <w:p w14:paraId="205E0CDD" w14:textId="77777777" w:rsidR="00DF3391" w:rsidRPr="00DF3391" w:rsidRDefault="00DF3391" w:rsidP="00DF3391">
            <w:pPr>
              <w:tabs>
                <w:tab w:val="left" w:pos="600"/>
              </w:tabs>
              <w:overflowPunct/>
              <w:autoSpaceDE/>
              <w:autoSpaceDN/>
              <w:adjustRightInd/>
              <w:spacing w:line="240" w:lineRule="atLeast"/>
              <w:ind w:left="300" w:hanging="300"/>
              <w:jc w:val="both"/>
              <w:textAlignment w:val="auto"/>
              <w:outlineLvl w:val="0"/>
              <w:rPr>
                <w:rFonts w:ascii="Times New Roman" w:hAnsi="Times New Roman"/>
              </w:rPr>
            </w:pPr>
            <w:r w:rsidRPr="00DF3391">
              <w:rPr>
                <w:rFonts w:ascii="Times New Roman" w:hAnsi="Times New Roman"/>
              </w:rPr>
              <w:t xml:space="preserve">1. 2/3 of compensation up to $200/day for 10 weeks capped at $10,000 </w:t>
            </w:r>
          </w:p>
        </w:tc>
      </w:tr>
      <w:tr w:rsidR="00DF3391" w:rsidRPr="00DF3391" w14:paraId="198EEAA4" w14:textId="77777777" w:rsidTr="008874D2">
        <w:tc>
          <w:tcPr>
            <w:tcW w:w="4950" w:type="dxa"/>
          </w:tcPr>
          <w:p w14:paraId="14A80218" w14:textId="77777777" w:rsidR="00DF3391" w:rsidRPr="00DF3391" w:rsidRDefault="00DF3391" w:rsidP="00DF3391">
            <w:pPr>
              <w:tabs>
                <w:tab w:val="left" w:pos="397"/>
                <w:tab w:val="left" w:pos="600"/>
              </w:tabs>
              <w:overflowPunct/>
              <w:autoSpaceDE/>
              <w:autoSpaceDN/>
              <w:adjustRightInd/>
              <w:spacing w:line="240" w:lineRule="atLeast"/>
              <w:ind w:left="397" w:hanging="397"/>
              <w:textAlignment w:val="auto"/>
              <w:outlineLvl w:val="0"/>
              <w:rPr>
                <w:rFonts w:ascii="Times New Roman" w:hAnsi="Times New Roman"/>
              </w:rPr>
            </w:pPr>
            <w:r w:rsidRPr="00DF3391">
              <w:rPr>
                <w:rFonts w:ascii="Times New Roman" w:hAnsi="Times New Roman"/>
              </w:rPr>
              <w:t>2.</w:t>
            </w:r>
            <w:r w:rsidRPr="00DF3391">
              <w:rPr>
                <w:rFonts w:ascii="Times New Roman" w:hAnsi="Times New Roman"/>
              </w:rPr>
              <w:tab/>
              <w:t>Care for family member w/coronavirus or child after school or day care closing,</w:t>
            </w:r>
            <w:r w:rsidRPr="00DF3391">
              <w:rPr>
                <w:rFonts w:ascii="Times New Roman" w:hAnsi="Times New Roman"/>
              </w:rPr>
              <w:br/>
              <w:t xml:space="preserve"> $200/day ($2,000 per employee cap)</w:t>
            </w:r>
          </w:p>
        </w:tc>
        <w:tc>
          <w:tcPr>
            <w:tcW w:w="4405" w:type="dxa"/>
            <w:shd w:val="clear" w:color="auto" w:fill="F2F2F2" w:themeFill="background1" w:themeFillShade="F2"/>
          </w:tcPr>
          <w:p w14:paraId="0C64FEC8" w14:textId="77777777" w:rsidR="00DF3391" w:rsidRPr="00DF3391" w:rsidRDefault="00DF3391" w:rsidP="00DF3391">
            <w:pPr>
              <w:tabs>
                <w:tab w:val="left" w:pos="600"/>
              </w:tabs>
              <w:overflowPunct/>
              <w:autoSpaceDE/>
              <w:autoSpaceDN/>
              <w:adjustRightInd/>
              <w:spacing w:line="240" w:lineRule="atLeast"/>
              <w:jc w:val="both"/>
              <w:textAlignment w:val="auto"/>
              <w:outlineLvl w:val="0"/>
              <w:rPr>
                <w:rFonts w:ascii="Times New Roman" w:hAnsi="Times New Roman"/>
              </w:rPr>
            </w:pPr>
            <w:r w:rsidRPr="00DF3391">
              <w:rPr>
                <w:rFonts w:ascii="Times New Roman" w:hAnsi="Times New Roman"/>
              </w:rPr>
              <w:t xml:space="preserve">2. Caring for child if </w:t>
            </w:r>
            <w:proofErr w:type="gramStart"/>
            <w:r w:rsidRPr="00DF3391">
              <w:rPr>
                <w:rFonts w:ascii="Times New Roman" w:hAnsi="Times New Roman"/>
              </w:rPr>
              <w:t>child care</w:t>
            </w:r>
            <w:proofErr w:type="gramEnd"/>
            <w:r w:rsidRPr="00DF3391">
              <w:rPr>
                <w:rFonts w:ascii="Times New Roman" w:hAnsi="Times New Roman"/>
              </w:rPr>
              <w:t xml:space="preserve"> provider closed or unavailable due to Covid-19, $200/day ($2,000 per employee cap)</w:t>
            </w:r>
          </w:p>
        </w:tc>
      </w:tr>
    </w:tbl>
    <w:p w14:paraId="1ACC60F5" w14:textId="2CE1792C" w:rsidR="00C27E4B" w:rsidRDefault="00C27E4B" w:rsidP="00DF3391">
      <w:pPr>
        <w:tabs>
          <w:tab w:val="left" w:pos="600"/>
        </w:tabs>
        <w:overflowPunct/>
        <w:autoSpaceDE/>
        <w:autoSpaceDN/>
        <w:adjustRightInd/>
        <w:spacing w:line="240" w:lineRule="atLeast"/>
        <w:ind w:left="300" w:hanging="300"/>
        <w:jc w:val="both"/>
        <w:textAlignment w:val="auto"/>
        <w:outlineLvl w:val="0"/>
        <w:rPr>
          <w:sz w:val="24"/>
        </w:rPr>
      </w:pPr>
    </w:p>
    <w:p w14:paraId="747AFA4E" w14:textId="6406BB63" w:rsidR="00DF3391" w:rsidRDefault="00C27E4B" w:rsidP="00DF3391">
      <w:pPr>
        <w:tabs>
          <w:tab w:val="left" w:pos="600"/>
        </w:tabs>
        <w:overflowPunct/>
        <w:autoSpaceDE/>
        <w:autoSpaceDN/>
        <w:adjustRightInd/>
        <w:spacing w:line="240" w:lineRule="atLeast"/>
        <w:ind w:left="300" w:hanging="300"/>
        <w:jc w:val="both"/>
        <w:textAlignment w:val="auto"/>
        <w:outlineLvl w:val="0"/>
        <w:rPr>
          <w:sz w:val="24"/>
        </w:rPr>
      </w:pPr>
      <w:r>
        <w:rPr>
          <w:sz w:val="24"/>
        </w:rPr>
        <w:br w:type="column"/>
      </w:r>
      <w:r w:rsidRPr="00B85768">
        <w:rPr>
          <w:rFonts w:ascii="Open Sans" w:hAnsi="Open Sans" w:cs="Open Sans"/>
          <w:noProof/>
          <w:color w:val="777777"/>
          <w:sz w:val="21"/>
          <w:szCs w:val="21"/>
        </w:rPr>
        <w:lastRenderedPageBreak/>
        <w:drawing>
          <wp:inline distT="0" distB="0" distL="0" distR="0" wp14:anchorId="4EDDF8A2" wp14:editId="36C53213">
            <wp:extent cx="5943600" cy="7827010"/>
            <wp:effectExtent l="0" t="0" r="0" b="2540"/>
            <wp:docPr id="2" name="Picture 2" descr="https://r1jkg18vkzhjqyse3hr6gkav-wpengine.netdna-ssl.com/wp-content/uploads/covid-comp-chart-01-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1jkg18vkzhjqyse3hr6gkav-wpengine.netdna-ssl.com/wp-content/uploads/covid-comp-chart-01-3-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827010"/>
                    </a:xfrm>
                    <a:prstGeom prst="rect">
                      <a:avLst/>
                    </a:prstGeom>
                    <a:noFill/>
                    <a:ln>
                      <a:noFill/>
                    </a:ln>
                  </pic:spPr>
                </pic:pic>
              </a:graphicData>
            </a:graphic>
          </wp:inline>
        </w:drawing>
      </w:r>
    </w:p>
    <w:p w14:paraId="1804A592" w14:textId="77777777" w:rsidR="00C27E4B" w:rsidRPr="00B85768" w:rsidRDefault="00C27E4B" w:rsidP="00C27E4B">
      <w:r w:rsidRPr="00B85768">
        <w:t xml:space="preserve">See </w:t>
      </w:r>
      <w:hyperlink r:id="rId26" w:history="1">
        <w:r w:rsidRPr="00B85768">
          <w:rPr>
            <w:rStyle w:val="Hyperlink"/>
          </w:rPr>
          <w:t>https://www.cshco.com/articles/summary-of-families-first-coronavirus-response-act/</w:t>
        </w:r>
      </w:hyperlink>
      <w:r w:rsidRPr="00B85768">
        <w:t>)</w:t>
      </w:r>
    </w:p>
    <w:p w14:paraId="714FA89E" w14:textId="77777777" w:rsidR="00C27E4B" w:rsidRPr="00DF3391" w:rsidRDefault="00C27E4B" w:rsidP="00DF3391">
      <w:pPr>
        <w:tabs>
          <w:tab w:val="left" w:pos="600"/>
        </w:tabs>
        <w:overflowPunct/>
        <w:autoSpaceDE/>
        <w:autoSpaceDN/>
        <w:adjustRightInd/>
        <w:spacing w:line="240" w:lineRule="atLeast"/>
        <w:ind w:left="300" w:hanging="300"/>
        <w:jc w:val="both"/>
        <w:textAlignment w:val="auto"/>
        <w:outlineLvl w:val="0"/>
        <w:rPr>
          <w:sz w:val="24"/>
        </w:rPr>
      </w:pPr>
    </w:p>
    <w:p w14:paraId="1AB504B0" w14:textId="77777777" w:rsidR="00A12C5E" w:rsidRPr="00B85768" w:rsidRDefault="00DF3391" w:rsidP="00A12C5E">
      <w:pPr>
        <w:rPr>
          <w:b/>
        </w:rPr>
      </w:pPr>
      <w:r w:rsidRPr="00C27E4B">
        <w:rPr>
          <w:sz w:val="24"/>
        </w:rPr>
        <w:br w:type="column"/>
      </w:r>
      <w:r w:rsidR="00A12C5E" w:rsidRPr="00B85768">
        <w:rPr>
          <w:b/>
        </w:rPr>
        <w:lastRenderedPageBreak/>
        <w:t xml:space="preserve">Credits for Sick Pay.  </w:t>
      </w:r>
    </w:p>
    <w:p w14:paraId="2D818445" w14:textId="77777777" w:rsidR="00A12C5E" w:rsidRPr="00B85768" w:rsidRDefault="00A12C5E" w:rsidP="00A12C5E">
      <w:pPr>
        <w:rPr>
          <w:b/>
        </w:rPr>
      </w:pPr>
    </w:p>
    <w:p w14:paraId="5CBC049C" w14:textId="77777777" w:rsidR="00A12C5E" w:rsidRPr="00215D99" w:rsidRDefault="00A12C5E" w:rsidP="00A12C5E">
      <w:pPr>
        <w:ind w:left="180"/>
      </w:pPr>
      <w:r w:rsidRPr="00516D1D">
        <w:rPr>
          <w:b/>
        </w:rPr>
        <w:t xml:space="preserve">(Note:  </w:t>
      </w:r>
      <w:r w:rsidRPr="00215D99">
        <w:t xml:space="preserve">While tax credits </w:t>
      </w:r>
      <w:r>
        <w:t>are</w:t>
      </w:r>
      <w:r w:rsidRPr="00215D99">
        <w:t xml:space="preserve"> normally addressed with the </w:t>
      </w:r>
      <w:r>
        <w:t xml:space="preserve">general </w:t>
      </w:r>
      <w:r w:rsidRPr="00215D99">
        <w:t>discussion of credit</w:t>
      </w:r>
      <w:r>
        <w:t>s</w:t>
      </w:r>
      <w:r w:rsidRPr="00215D99">
        <w:t>, for purposes of this supplement, the credits related to FFCRA</w:t>
      </w:r>
      <w:r>
        <w:t>’s sick pay requirements</w:t>
      </w:r>
      <w:r w:rsidRPr="00215D99">
        <w:t xml:space="preserve"> </w:t>
      </w:r>
      <w:r>
        <w:t xml:space="preserve">discussed above </w:t>
      </w:r>
      <w:r w:rsidRPr="00215D99">
        <w:t xml:space="preserve">are </w:t>
      </w:r>
      <w:r>
        <w:t>considered</w:t>
      </w:r>
      <w:r w:rsidRPr="00215D99">
        <w:t xml:space="preserve"> below). </w:t>
      </w:r>
    </w:p>
    <w:p w14:paraId="3409C1B2" w14:textId="77777777" w:rsidR="00A12C5E" w:rsidRPr="00B85768" w:rsidRDefault="00A12C5E" w:rsidP="00A12C5E"/>
    <w:p w14:paraId="75588827" w14:textId="77777777" w:rsidR="00A12C5E" w:rsidRPr="00516D1D" w:rsidRDefault="00A12C5E" w:rsidP="00A12C5E">
      <w:r w:rsidRPr="00516D1D">
        <w:rPr>
          <w:b/>
        </w:rPr>
        <w:t>FFCRA Credits</w:t>
      </w:r>
      <w:r>
        <w:rPr>
          <w:b/>
        </w:rPr>
        <w:t xml:space="preserve"> for Sick Pay</w:t>
      </w:r>
      <w:r w:rsidRPr="00516D1D">
        <w:rPr>
          <w:b/>
        </w:rPr>
        <w:t xml:space="preserve">.  </w:t>
      </w:r>
      <w:r w:rsidRPr="00516D1D">
        <w:t>As noted above, FFCRA provides businesses with refundable tax credits to reimburse 100% of the costs of providing employees with</w:t>
      </w:r>
      <w:r>
        <w:t xml:space="preserve"> </w:t>
      </w:r>
      <w:r w:rsidRPr="00516D1D">
        <w:t xml:space="preserve">required paid sick leave and expanded family and medical leave for reasons related to COVID-19.  </w:t>
      </w:r>
      <w:r w:rsidRPr="00516D1D">
        <w:rPr>
          <w:szCs w:val="24"/>
        </w:rPr>
        <w:t xml:space="preserve">In effect, </w:t>
      </w:r>
      <w:r>
        <w:rPr>
          <w:szCs w:val="24"/>
        </w:rPr>
        <w:t>these</w:t>
      </w:r>
      <w:r w:rsidRPr="00516D1D">
        <w:rPr>
          <w:szCs w:val="24"/>
        </w:rPr>
        <w:t xml:space="preserve"> </w:t>
      </w:r>
      <w:r>
        <w:rPr>
          <w:szCs w:val="24"/>
        </w:rPr>
        <w:t xml:space="preserve">credits </w:t>
      </w:r>
      <w:r w:rsidRPr="00516D1D">
        <w:rPr>
          <w:szCs w:val="24"/>
        </w:rPr>
        <w:t xml:space="preserve">operate </w:t>
      </w:r>
      <w:r>
        <w:rPr>
          <w:szCs w:val="24"/>
        </w:rPr>
        <w:t>such</w:t>
      </w:r>
      <w:r w:rsidRPr="00516D1D">
        <w:rPr>
          <w:szCs w:val="24"/>
        </w:rPr>
        <w:t xml:space="preserve"> that employers </w:t>
      </w:r>
      <w:r>
        <w:rPr>
          <w:szCs w:val="24"/>
        </w:rPr>
        <w:t>should</w:t>
      </w:r>
      <w:r w:rsidRPr="00516D1D">
        <w:rPr>
          <w:szCs w:val="24"/>
        </w:rPr>
        <w:t xml:space="preserve"> </w:t>
      </w:r>
      <w:r>
        <w:rPr>
          <w:szCs w:val="24"/>
        </w:rPr>
        <w:t>not incur</w:t>
      </w:r>
      <w:r w:rsidRPr="00516D1D">
        <w:rPr>
          <w:szCs w:val="24"/>
        </w:rPr>
        <w:t xml:space="preserve"> </w:t>
      </w:r>
      <w:r>
        <w:rPr>
          <w:szCs w:val="24"/>
        </w:rPr>
        <w:t>any</w:t>
      </w:r>
      <w:r w:rsidRPr="00516D1D">
        <w:rPr>
          <w:szCs w:val="24"/>
        </w:rPr>
        <w:t xml:space="preserve"> cost </w:t>
      </w:r>
      <w:r>
        <w:rPr>
          <w:szCs w:val="24"/>
        </w:rPr>
        <w:t>for</w:t>
      </w:r>
      <w:r w:rsidRPr="00516D1D">
        <w:rPr>
          <w:szCs w:val="24"/>
        </w:rPr>
        <w:t xml:space="preserve"> </w:t>
      </w:r>
      <w:r>
        <w:rPr>
          <w:szCs w:val="24"/>
        </w:rPr>
        <w:t>the</w:t>
      </w:r>
      <w:r w:rsidRPr="00516D1D">
        <w:rPr>
          <w:szCs w:val="24"/>
        </w:rPr>
        <w:t xml:space="preserve"> payments. </w:t>
      </w:r>
      <w:r w:rsidRPr="00516D1D">
        <w:t xml:space="preserve"> The credit</w:t>
      </w:r>
      <w:r>
        <w:t>s</w:t>
      </w:r>
      <w:r w:rsidRPr="00516D1D">
        <w:t xml:space="preserve"> includ</w:t>
      </w:r>
      <w:r>
        <w:t>e</w:t>
      </w:r>
      <w:r w:rsidRPr="00516D1D">
        <w:t xml:space="preserve"> the employer’s share of Medicare taxes as well as expenses to provide and maintain a group health plan (to the extent that the amounts are excluded from the employee’s gross income under § 106(a)).</w:t>
      </w:r>
      <w:r>
        <w:t xml:space="preserve">  </w:t>
      </w:r>
      <w:r w:rsidRPr="00CE5056">
        <w:t>ARPA</w:t>
      </w:r>
      <w:r>
        <w:t xml:space="preserve"> codifies these credits.</w:t>
      </w:r>
    </w:p>
    <w:p w14:paraId="606C2CBD" w14:textId="77777777" w:rsidR="00A12C5E" w:rsidRPr="00B85768" w:rsidRDefault="00A12C5E" w:rsidP="00A12C5E">
      <w:r w:rsidRPr="00B85768">
        <w:tab/>
        <w:t xml:space="preserve">According to the IRS, “Eligible Employers” can obtain the benefit of </w:t>
      </w:r>
      <w:r>
        <w:t>these payroll tax credits</w:t>
      </w:r>
      <w:r w:rsidRPr="00B85768">
        <w:t xml:space="preserve"> almost immediately by applying them against their federal payroll taxes that normally are paid quarterly (i.e., amounts withheld for employee income taxes, employment taxes including the employee and employer share for Social Security and Medicare).  Generally, employers can claim the credits on their federal employment tax returns filed quarterly (e.g., Form 941, Employer's Quarterly Federal Tax Return).  Form 941 is due by the last day of the month that follows the end of the quarter as follows:</w:t>
      </w:r>
    </w:p>
    <w:p w14:paraId="30FD3025" w14:textId="77777777" w:rsidR="00A12C5E" w:rsidRPr="001203C0" w:rsidRDefault="00A12C5E" w:rsidP="00A12C5E">
      <w:pPr>
        <w:rPr>
          <w:sz w:val="20"/>
          <w:szCs w:val="16"/>
        </w:rPr>
      </w:pPr>
    </w:p>
    <w:p w14:paraId="7C2CBAFA" w14:textId="77777777" w:rsidR="00A12C5E" w:rsidRPr="00B85768" w:rsidRDefault="00A12C5E" w:rsidP="00A12C5E">
      <w:pPr>
        <w:tabs>
          <w:tab w:val="left" w:pos="720"/>
          <w:tab w:val="left" w:pos="4050"/>
        </w:tabs>
      </w:pPr>
      <w:r w:rsidRPr="00B85768">
        <w:tab/>
      </w:r>
      <w:r w:rsidRPr="00B85768">
        <w:rPr>
          <w:u w:val="single"/>
        </w:rPr>
        <w:t xml:space="preserve">The Quarter Includes . , , , . . </w:t>
      </w:r>
      <w:r w:rsidRPr="00B85768">
        <w:tab/>
      </w:r>
      <w:r w:rsidRPr="00B85768">
        <w:rPr>
          <w:u w:val="single"/>
        </w:rPr>
        <w:t>Quarter Ends</w:t>
      </w:r>
      <w:r w:rsidRPr="00B85768">
        <w:t xml:space="preserve"> </w:t>
      </w:r>
      <w:r w:rsidRPr="00B85768">
        <w:tab/>
      </w:r>
      <w:r w:rsidRPr="00B85768">
        <w:rPr>
          <w:u w:val="single"/>
        </w:rPr>
        <w:t>Form 941 Is Due</w:t>
      </w:r>
    </w:p>
    <w:p w14:paraId="5B0E0A38" w14:textId="77777777" w:rsidR="00A12C5E" w:rsidRPr="00B85768" w:rsidRDefault="00A12C5E" w:rsidP="00A12C5E">
      <w:pPr>
        <w:tabs>
          <w:tab w:val="left" w:pos="720"/>
          <w:tab w:val="left" w:pos="4140"/>
          <w:tab w:val="left" w:pos="6030"/>
        </w:tabs>
      </w:pPr>
      <w:r w:rsidRPr="00B85768">
        <w:tab/>
        <w:t xml:space="preserve">1. January, February, March </w:t>
      </w:r>
      <w:r w:rsidRPr="00B85768">
        <w:tab/>
        <w:t xml:space="preserve">March 31 </w:t>
      </w:r>
      <w:r w:rsidRPr="00B85768">
        <w:tab/>
        <w:t>April 30</w:t>
      </w:r>
      <w:r w:rsidRPr="00B85768">
        <w:br/>
      </w:r>
      <w:r w:rsidRPr="00B85768">
        <w:tab/>
        <w:t xml:space="preserve">2. April, May, June </w:t>
      </w:r>
      <w:r w:rsidRPr="00B85768">
        <w:tab/>
        <w:t xml:space="preserve">June 30 </w:t>
      </w:r>
      <w:r w:rsidRPr="00B85768">
        <w:tab/>
        <w:t>July 31</w:t>
      </w:r>
      <w:r w:rsidRPr="00B85768">
        <w:br/>
      </w:r>
      <w:r w:rsidRPr="00B85768">
        <w:tab/>
        <w:t xml:space="preserve">3. July, August, September </w:t>
      </w:r>
      <w:r w:rsidRPr="00B85768">
        <w:tab/>
        <w:t>September 30</w:t>
      </w:r>
      <w:r w:rsidRPr="00B85768">
        <w:tab/>
        <w:t>October 31</w:t>
      </w:r>
      <w:r w:rsidRPr="00B85768">
        <w:br/>
      </w:r>
      <w:r w:rsidRPr="00B85768">
        <w:tab/>
        <w:t xml:space="preserve">4. October, November, December </w:t>
      </w:r>
      <w:r w:rsidRPr="00B85768">
        <w:tab/>
        <w:t xml:space="preserve">December 31 </w:t>
      </w:r>
      <w:r w:rsidRPr="00B85768">
        <w:tab/>
        <w:t>January 31</w:t>
      </w:r>
    </w:p>
    <w:p w14:paraId="44AAFADB" w14:textId="77777777" w:rsidR="00A12C5E" w:rsidRPr="001203C0" w:rsidRDefault="00A12C5E" w:rsidP="00A12C5E">
      <w:pPr>
        <w:rPr>
          <w:sz w:val="20"/>
          <w:szCs w:val="16"/>
        </w:rPr>
      </w:pPr>
    </w:p>
    <w:p w14:paraId="6E668EB4" w14:textId="77777777" w:rsidR="00A12C5E" w:rsidRPr="00B85768" w:rsidRDefault="00A12C5E" w:rsidP="00A12C5E">
      <w:r w:rsidRPr="00B85768">
        <w:t>Depending on the total taxes withheld, taxes normally are deposited monthly or semi-weekly (every two week</w:t>
      </w:r>
      <w:r>
        <w:t>s</w:t>
      </w:r>
      <w:r w:rsidRPr="00B85768">
        <w:t>).</w:t>
      </w:r>
      <w:r>
        <w:t xml:space="preserve"> </w:t>
      </w:r>
      <w:r w:rsidRPr="00B85768">
        <w:t xml:space="preserve"> If there are insufficient federal employment taxes to cover the amount of the credits, employer</w:t>
      </w:r>
      <w:r>
        <w:t>s</w:t>
      </w:r>
      <w:r w:rsidRPr="00B85768">
        <w:t xml:space="preserve"> may request an advance payment of the credits from the IRS by submitting Form 7200, Advance Payment of Employer Credits Due to COVID-19.</w:t>
      </w:r>
    </w:p>
    <w:p w14:paraId="6F7D85DA" w14:textId="77777777" w:rsidR="00A12C5E" w:rsidRPr="00B85768" w:rsidRDefault="00A12C5E" w:rsidP="00A12C5E">
      <w:r w:rsidRPr="00B85768">
        <w:tab/>
        <w:t>The IRS also explains that “Eligible Employers claiming the credits for qualified leave wages (and allocable qualified health plan expenses and the Eligible Employer’s share of Medicare taxes) must retain records and documentation related to and supporting each employee’s leave to substantiate the claim for the credits</w:t>
      </w:r>
      <w:r>
        <w:t>.</w:t>
      </w:r>
    </w:p>
    <w:p w14:paraId="3D84DCC7" w14:textId="77777777" w:rsidR="00A12C5E" w:rsidRPr="00B85768" w:rsidRDefault="00A12C5E" w:rsidP="00A12C5E"/>
    <w:p w14:paraId="689CFBF6" w14:textId="415CB275" w:rsidR="000F17F6" w:rsidRPr="00BF562F" w:rsidRDefault="004E5166" w:rsidP="000F17F6">
      <w:pPr>
        <w:rPr>
          <w:b/>
          <w:bCs/>
          <w:sz w:val="24"/>
        </w:rPr>
      </w:pPr>
      <w:r w:rsidRPr="00BF562F">
        <w:rPr>
          <w:b/>
          <w:bCs/>
          <w:sz w:val="24"/>
        </w:rPr>
        <w:t xml:space="preserve">Employer </w:t>
      </w:r>
      <w:r w:rsidR="000F17F6" w:rsidRPr="00BF562F">
        <w:rPr>
          <w:b/>
          <w:bCs/>
          <w:sz w:val="24"/>
        </w:rPr>
        <w:t>Disaster Relief Payments</w:t>
      </w:r>
      <w:r w:rsidR="00497DF2" w:rsidRPr="00BF562F">
        <w:rPr>
          <w:b/>
          <w:bCs/>
          <w:sz w:val="24"/>
        </w:rPr>
        <w:t xml:space="preserve"> for Employees and Exclusion</w:t>
      </w:r>
      <w:r w:rsidR="000F17F6" w:rsidRPr="00BF562F">
        <w:rPr>
          <w:b/>
          <w:bCs/>
          <w:sz w:val="24"/>
        </w:rPr>
        <w:t xml:space="preserve"> (§ 139)</w:t>
      </w:r>
    </w:p>
    <w:p w14:paraId="697B07FF" w14:textId="77777777" w:rsidR="000F17F6" w:rsidRPr="00BF562F" w:rsidRDefault="000F17F6" w:rsidP="000F17F6">
      <w:pPr>
        <w:overflowPunct/>
        <w:textAlignment w:val="auto"/>
        <w:rPr>
          <w:bCs/>
          <w:sz w:val="24"/>
        </w:rPr>
      </w:pPr>
    </w:p>
    <w:p w14:paraId="0157B3C8" w14:textId="77777777" w:rsidR="00395DD2" w:rsidRPr="00BF562F" w:rsidRDefault="00395DD2" w:rsidP="00395DD2">
      <w:pPr>
        <w:overflowPunct/>
        <w:textAlignment w:val="auto"/>
        <w:rPr>
          <w:bCs/>
          <w:sz w:val="24"/>
        </w:rPr>
      </w:pPr>
      <w:r w:rsidRPr="00BF562F">
        <w:rPr>
          <w:bCs/>
          <w:sz w:val="24"/>
        </w:rPr>
        <w:t>Employers can help employees who have suffered financial loss due to the pandemic by creating a program that utilizes qualified disaster relief payments.  Section 139 and its special rules provide that so-called qualified disaster payments are not taxable.  Moreover, the costs of such payments are deductible by the employer as an ordinary and necessary business expenses.</w:t>
      </w:r>
    </w:p>
    <w:p w14:paraId="73DFFA2C" w14:textId="77777777" w:rsidR="000F17F6" w:rsidRPr="00BF562F" w:rsidRDefault="000F17F6" w:rsidP="000F17F6">
      <w:pPr>
        <w:overflowPunct/>
        <w:textAlignment w:val="auto"/>
        <w:rPr>
          <w:bCs/>
          <w:sz w:val="24"/>
        </w:rPr>
      </w:pPr>
      <w:r w:rsidRPr="00BF562F">
        <w:rPr>
          <w:bCs/>
          <w:sz w:val="24"/>
        </w:rPr>
        <w:tab/>
        <w:t xml:space="preserve">Section. 139(b)(1) defines a qualified disaster relief payment as any amount paid to reimburse or pay reasonable and necessary personal, family, living, or funeral expenses incurred </w:t>
      </w:r>
      <w:proofErr w:type="gramStart"/>
      <w:r w:rsidRPr="00BF562F">
        <w:rPr>
          <w:bCs/>
          <w:sz w:val="24"/>
        </w:rPr>
        <w:t>as a result of</w:t>
      </w:r>
      <w:proofErr w:type="gramEnd"/>
      <w:r w:rsidRPr="00BF562F">
        <w:rPr>
          <w:bCs/>
          <w:sz w:val="24"/>
        </w:rPr>
        <w:t xml:space="preserve"> a qualified disaster (provided amounts are not reimbursed by insurance or otherwise).  Under this definition, childcare expenses resulting from school closures and costs incurred to enable an employee to work from home would most likely qualify.  </w:t>
      </w:r>
    </w:p>
    <w:p w14:paraId="728D6E15" w14:textId="77777777" w:rsidR="000F17F6" w:rsidRPr="00BF562F" w:rsidRDefault="000F17F6" w:rsidP="000F17F6">
      <w:pPr>
        <w:overflowPunct/>
        <w:textAlignment w:val="auto"/>
        <w:rPr>
          <w:bCs/>
          <w:sz w:val="24"/>
        </w:rPr>
      </w:pPr>
      <w:r w:rsidRPr="00BF562F">
        <w:rPr>
          <w:bCs/>
          <w:sz w:val="24"/>
        </w:rPr>
        <w:tab/>
        <w:t xml:space="preserve">In addition, qualified payments include those for the repair or rehabilitation of a personal residence or repair or replacement of its contents to the extent that the need for such repair, rehabilitation, or replacement is attributable to a qualified disaster, </w:t>
      </w:r>
    </w:p>
    <w:p w14:paraId="36C4FE76" w14:textId="77777777" w:rsidR="000F17F6" w:rsidRPr="00BF562F" w:rsidRDefault="000F17F6" w:rsidP="000F17F6">
      <w:pPr>
        <w:overflowPunct/>
        <w:textAlignment w:val="auto"/>
        <w:rPr>
          <w:bCs/>
          <w:sz w:val="24"/>
        </w:rPr>
      </w:pPr>
      <w:r w:rsidRPr="00BF562F">
        <w:rPr>
          <w:bCs/>
          <w:sz w:val="24"/>
        </w:rPr>
        <w:tab/>
        <w:t xml:space="preserve">A qualified disaster eligible for this treatment includes an event declared a major disaster or an emergency under the Robert T. Stafford Disaster Relief and Emergency Assistance Act (Stafford Act) (Rev. Rul. 2003-29). On 3/13/20, President Trump made an emergency </w:t>
      </w:r>
      <w:r w:rsidRPr="00BF562F">
        <w:rPr>
          <w:bCs/>
          <w:sz w:val="24"/>
        </w:rPr>
        <w:lastRenderedPageBreak/>
        <w:t>declaration under the Stafford Act regarding the COVID-19 pandemic. Therefore, qualified disaster relief payments related to COVID-19 are eligible for tax-free treatment under § 139.</w:t>
      </w:r>
    </w:p>
    <w:p w14:paraId="2B407C5E" w14:textId="5ACD4B73" w:rsidR="00446B7F" w:rsidRPr="00BF562F" w:rsidRDefault="00446B7F" w:rsidP="001A64DF">
      <w:pPr>
        <w:overflowPunct/>
        <w:textAlignment w:val="auto"/>
        <w:rPr>
          <w:b/>
          <w:bCs/>
          <w:sz w:val="24"/>
        </w:rPr>
      </w:pPr>
    </w:p>
    <w:p w14:paraId="7258652F" w14:textId="1FDAEDA3" w:rsidR="000F17F6" w:rsidRPr="00BF562F" w:rsidRDefault="000F17F6" w:rsidP="000F17F6">
      <w:pPr>
        <w:overflowPunct/>
        <w:autoSpaceDE/>
        <w:autoSpaceDN/>
        <w:adjustRightInd/>
        <w:jc w:val="both"/>
        <w:textAlignment w:val="auto"/>
        <w:rPr>
          <w:b/>
          <w:sz w:val="24"/>
        </w:rPr>
      </w:pPr>
      <w:bookmarkStart w:id="4" w:name="_Hlk37846859"/>
      <w:r w:rsidRPr="00BF562F">
        <w:rPr>
          <w:b/>
          <w:sz w:val="24"/>
        </w:rPr>
        <w:t>Employer Payment of Student Loans</w:t>
      </w:r>
      <w:r w:rsidR="001A4AA2" w:rsidRPr="00BF562F">
        <w:rPr>
          <w:b/>
          <w:sz w:val="24"/>
        </w:rPr>
        <w:t>: Educational Assistance Plans</w:t>
      </w:r>
      <w:r w:rsidRPr="00BF562F">
        <w:rPr>
          <w:b/>
          <w:sz w:val="24"/>
        </w:rPr>
        <w:t xml:space="preserve">. </w:t>
      </w:r>
    </w:p>
    <w:p w14:paraId="504A3DEB" w14:textId="77777777" w:rsidR="000F17F6" w:rsidRPr="00371EE1" w:rsidRDefault="000F17F6" w:rsidP="000F17F6">
      <w:pPr>
        <w:overflowPunct/>
        <w:autoSpaceDE/>
        <w:autoSpaceDN/>
        <w:adjustRightInd/>
        <w:jc w:val="both"/>
        <w:textAlignment w:val="auto"/>
        <w:rPr>
          <w:b/>
          <w:sz w:val="24"/>
          <w:highlight w:val="yellow"/>
        </w:rPr>
      </w:pPr>
    </w:p>
    <w:p w14:paraId="277A62E3" w14:textId="5A923C75" w:rsidR="000F17F6" w:rsidRPr="009E3376" w:rsidRDefault="000F17F6" w:rsidP="000F17F6">
      <w:pPr>
        <w:overflowPunct/>
        <w:autoSpaceDE/>
        <w:autoSpaceDN/>
        <w:adjustRightInd/>
        <w:jc w:val="both"/>
        <w:textAlignment w:val="auto"/>
        <w:rPr>
          <w:bCs/>
          <w:sz w:val="24"/>
        </w:rPr>
      </w:pPr>
      <w:r w:rsidRPr="009E3376">
        <w:rPr>
          <w:bCs/>
          <w:sz w:val="24"/>
        </w:rPr>
        <w:t xml:space="preserve">Under current law (§ 127), an employee may exclude up to $5,250 of tuition payments made by an employer sponsored educational assistance program. The exclusion is not available for payment of </w:t>
      </w:r>
      <w:r w:rsidR="00CD634A" w:rsidRPr="009E3376">
        <w:rPr>
          <w:bCs/>
          <w:sz w:val="24"/>
        </w:rPr>
        <w:t xml:space="preserve">the </w:t>
      </w:r>
      <w:r w:rsidRPr="009E3376">
        <w:rPr>
          <w:bCs/>
          <w:sz w:val="24"/>
        </w:rPr>
        <w:t xml:space="preserve">education for the employee’s spouse or dependents. In addition, the payment is not only excluded for income tax purposes but also is exempt from payroll taxes (employer and employee).  The CARES Act expands the reach of </w:t>
      </w:r>
      <w:r w:rsidR="00711224" w:rsidRPr="009E3376">
        <w:rPr>
          <w:bCs/>
          <w:sz w:val="24"/>
        </w:rPr>
        <w:t>this</w:t>
      </w:r>
      <w:r w:rsidRPr="009E3376">
        <w:rPr>
          <w:bCs/>
          <w:sz w:val="24"/>
        </w:rPr>
        <w:t xml:space="preserve"> program to include employer payments of existing student loan debt. Thus, if an employer agrees to pay a student’s loans and does it before 2021, the benefit is not taxable.  The limitation of $5,250 was not changed. The provision is effective for student loan payments made before January 1, 2021. Obviously, this rule provides a potentially huge benefit for employers and </w:t>
      </w:r>
      <w:proofErr w:type="gramStart"/>
      <w:r w:rsidRPr="009E3376">
        <w:rPr>
          <w:bCs/>
          <w:sz w:val="24"/>
        </w:rPr>
        <w:t>employees</w:t>
      </w:r>
      <w:proofErr w:type="gramEnd"/>
      <w:r w:rsidRPr="009E3376">
        <w:rPr>
          <w:bCs/>
          <w:sz w:val="24"/>
        </w:rPr>
        <w:t xml:space="preserve"> but it expires on December 31.</w:t>
      </w:r>
    </w:p>
    <w:bookmarkEnd w:id="4"/>
    <w:p w14:paraId="1D307502" w14:textId="77777777" w:rsidR="000F17F6" w:rsidRPr="009E3376" w:rsidRDefault="000F17F6" w:rsidP="000F17F6">
      <w:pPr>
        <w:overflowPunct/>
        <w:autoSpaceDE/>
        <w:autoSpaceDN/>
        <w:adjustRightInd/>
        <w:jc w:val="both"/>
        <w:textAlignment w:val="auto"/>
        <w:rPr>
          <w:b/>
          <w:sz w:val="24"/>
        </w:rPr>
      </w:pPr>
    </w:p>
    <w:p w14:paraId="67059FB2" w14:textId="4B6ADEDD" w:rsidR="000F17F6" w:rsidRPr="009E3376" w:rsidRDefault="000F17F6" w:rsidP="000F17F6">
      <w:pPr>
        <w:overflowPunct/>
        <w:autoSpaceDE/>
        <w:autoSpaceDN/>
        <w:adjustRightInd/>
        <w:jc w:val="both"/>
        <w:textAlignment w:val="auto"/>
        <w:rPr>
          <w:sz w:val="24"/>
        </w:rPr>
      </w:pPr>
      <w:r w:rsidRPr="009E3376">
        <w:rPr>
          <w:b/>
          <w:sz w:val="24"/>
        </w:rPr>
        <w:t xml:space="preserve">Example </w:t>
      </w:r>
      <w:r w:rsidR="004D22F0" w:rsidRPr="009E3376">
        <w:rPr>
          <w:b/>
          <w:sz w:val="24"/>
        </w:rPr>
        <w:t>7</w:t>
      </w:r>
      <w:r w:rsidRPr="009E3376">
        <w:rPr>
          <w:sz w:val="24"/>
        </w:rPr>
        <w:t>.  An accounting firm pays $3,000 for an MST course taken by one of its employees during 2020.  In addition, the firm pays off $4,000 of the employee’s outstanding student loans. Given the $5,250 cap, the employee can exclude $5,250 while the remaining $1,750  ($3,000 + $4,000 = $7,000 - $5,250 = $1,750) would be included in the employee’s wages. The employer can deduct the payment just like compensation except it is not subject to employment taxes.</w:t>
      </w:r>
    </w:p>
    <w:p w14:paraId="5DCC64ED" w14:textId="77777777" w:rsidR="000F17F6" w:rsidRPr="009E3376" w:rsidRDefault="000F17F6" w:rsidP="000F17F6">
      <w:pPr>
        <w:overflowPunct/>
        <w:autoSpaceDE/>
        <w:autoSpaceDN/>
        <w:adjustRightInd/>
        <w:jc w:val="both"/>
        <w:textAlignment w:val="auto"/>
        <w:rPr>
          <w:sz w:val="24"/>
        </w:rPr>
      </w:pPr>
    </w:p>
    <w:p w14:paraId="0548BC35" w14:textId="52B36A8F" w:rsidR="000F17F6" w:rsidRPr="009E3376" w:rsidRDefault="000F17F6" w:rsidP="000F17F6">
      <w:pPr>
        <w:overflowPunct/>
        <w:autoSpaceDE/>
        <w:autoSpaceDN/>
        <w:adjustRightInd/>
        <w:jc w:val="both"/>
        <w:textAlignment w:val="auto"/>
        <w:rPr>
          <w:sz w:val="24"/>
        </w:rPr>
      </w:pPr>
      <w:r w:rsidRPr="009E3376">
        <w:rPr>
          <w:sz w:val="24"/>
        </w:rPr>
        <w:t xml:space="preserve">“Eligible student loan repayments” are payments by the employer of principal or interest with respect to any “qualified higher education loan” for the education of the employee (but not of a spouse or dependent).  The payment may be paid to the employee or </w:t>
      </w:r>
      <w:r w:rsidR="00711224" w:rsidRPr="009E3376">
        <w:rPr>
          <w:sz w:val="24"/>
        </w:rPr>
        <w:t xml:space="preserve">directly to </w:t>
      </w:r>
      <w:r w:rsidRPr="009E3376">
        <w:rPr>
          <w:sz w:val="24"/>
        </w:rPr>
        <w:t>a lender</w:t>
      </w:r>
      <w:r w:rsidR="00711224" w:rsidRPr="009E3376">
        <w:rPr>
          <w:sz w:val="24"/>
        </w:rPr>
        <w:t>.</w:t>
      </w:r>
      <w:r w:rsidRPr="009E3376">
        <w:rPr>
          <w:sz w:val="24"/>
        </w:rPr>
        <w:t xml:space="preserve"> Se</w:t>
      </w:r>
      <w:r w:rsidR="00711224" w:rsidRPr="009E3376">
        <w:rPr>
          <w:sz w:val="24"/>
        </w:rPr>
        <w:t>e</w:t>
      </w:r>
      <w:r w:rsidR="00711224" w:rsidRPr="009E3376">
        <w:rPr>
          <w:sz w:val="24"/>
        </w:rPr>
        <w:br/>
      </w:r>
      <w:r w:rsidRPr="009E3376">
        <w:rPr>
          <w:sz w:val="24"/>
        </w:rPr>
        <w:t>§ 221(d)(1) and § 127(c)(1)(B).</w:t>
      </w:r>
    </w:p>
    <w:p w14:paraId="5268E424" w14:textId="77777777" w:rsidR="000F17F6" w:rsidRPr="009E3376" w:rsidRDefault="000F17F6" w:rsidP="000F17F6">
      <w:pPr>
        <w:overflowPunct/>
        <w:autoSpaceDE/>
        <w:autoSpaceDN/>
        <w:adjustRightInd/>
        <w:jc w:val="both"/>
        <w:textAlignment w:val="auto"/>
        <w:rPr>
          <w:bCs/>
          <w:sz w:val="24"/>
        </w:rPr>
      </w:pPr>
    </w:p>
    <w:p w14:paraId="1D051D56" w14:textId="6E0183D6" w:rsidR="000F17F6" w:rsidRDefault="00E836B8" w:rsidP="000F17F6">
      <w:pPr>
        <w:overflowPunct/>
        <w:textAlignment w:val="auto"/>
        <w:rPr>
          <w:bCs/>
          <w:sz w:val="24"/>
        </w:rPr>
      </w:pPr>
      <w:r w:rsidRPr="009E3376">
        <w:rPr>
          <w:bCs/>
          <w:sz w:val="24"/>
        </w:rPr>
        <w:t>Section</w:t>
      </w:r>
      <w:r w:rsidR="000F17F6" w:rsidRPr="009E3376">
        <w:rPr>
          <w:bCs/>
          <w:sz w:val="24"/>
        </w:rPr>
        <w:t xml:space="preserve"> 221 allows a deduction for up to $2,500 of interest on student loans per year.  To prevent a double benefit, a taxpayer cannot deduct interest on a student loan that is paid by an employer for which the exclusion is allowable.  Note that the deduction for student loan interest phases out once the taxpayer’s AGI (computed with certain modifications) exceeds $140,000 for joint returns or $70,000 for all other returns.</w:t>
      </w:r>
    </w:p>
    <w:p w14:paraId="4B2B9683" w14:textId="77777777" w:rsidR="009E3376" w:rsidRPr="009E3376" w:rsidRDefault="009E3376" w:rsidP="000F17F6">
      <w:pPr>
        <w:overflowPunct/>
        <w:textAlignment w:val="auto"/>
        <w:rPr>
          <w:bCs/>
          <w:sz w:val="24"/>
        </w:rPr>
      </w:pPr>
    </w:p>
    <w:p w14:paraId="0F1AF471" w14:textId="77777777" w:rsidR="00132FB6" w:rsidRPr="009E3376" w:rsidRDefault="008C3087" w:rsidP="008C3087">
      <w:pPr>
        <w:overflowPunct/>
        <w:textAlignment w:val="auto"/>
        <w:rPr>
          <w:b/>
          <w:sz w:val="24"/>
        </w:rPr>
      </w:pPr>
      <w:r w:rsidRPr="009E3376">
        <w:rPr>
          <w:b/>
          <w:sz w:val="24"/>
        </w:rPr>
        <w:t>Health Savings Accounts</w:t>
      </w:r>
    </w:p>
    <w:p w14:paraId="480BC332" w14:textId="41172878" w:rsidR="00711224" w:rsidRPr="009E3376" w:rsidRDefault="00711224" w:rsidP="008C3087">
      <w:pPr>
        <w:overflowPunct/>
        <w:textAlignment w:val="auto"/>
        <w:rPr>
          <w:b/>
          <w:sz w:val="24"/>
        </w:rPr>
      </w:pPr>
    </w:p>
    <w:p w14:paraId="06187958" w14:textId="0D7133BB" w:rsidR="008C3087" w:rsidRPr="009E3376" w:rsidRDefault="00132FB6" w:rsidP="008C3087">
      <w:pPr>
        <w:overflowPunct/>
        <w:textAlignment w:val="auto"/>
        <w:rPr>
          <w:bCs/>
          <w:sz w:val="24"/>
        </w:rPr>
      </w:pPr>
      <w:r w:rsidRPr="009E3376">
        <w:rPr>
          <w:b/>
          <w:sz w:val="24"/>
        </w:rPr>
        <w:t xml:space="preserve">Qualified Expenses: Over-the-Counter Drugs, Telehealth and Menstrual </w:t>
      </w:r>
      <w:r w:rsidR="00D334A1" w:rsidRPr="009E3376">
        <w:rPr>
          <w:b/>
          <w:sz w:val="24"/>
        </w:rPr>
        <w:t>Needs</w:t>
      </w:r>
      <w:r w:rsidRPr="009E3376">
        <w:rPr>
          <w:b/>
          <w:sz w:val="24"/>
        </w:rPr>
        <w:t xml:space="preserve">.  </w:t>
      </w:r>
      <w:r w:rsidRPr="009E3376">
        <w:rPr>
          <w:sz w:val="24"/>
        </w:rPr>
        <w:t>T</w:t>
      </w:r>
      <w:r w:rsidR="002F5348" w:rsidRPr="009E3376">
        <w:rPr>
          <w:bCs/>
          <w:sz w:val="24"/>
        </w:rPr>
        <w:t>he</w:t>
      </w:r>
      <w:r w:rsidR="008C3087" w:rsidRPr="009E3376">
        <w:rPr>
          <w:bCs/>
          <w:sz w:val="24"/>
        </w:rPr>
        <w:t xml:space="preserve"> tax law generally allows taxpayers to pay for medical expenses with pretax dollars through a Health Savings Account (HSA).  For example, taxpayers can instruct their employer to withhold amounts from their paycheck that are stored in an HSA.  In this way, the amounts are never subject to an income tax nor an employment tax (and most state income taxes).  Alternatively, taxpayers can simply make contributions to an HSA and deduct them for AGI.  </w:t>
      </w:r>
    </w:p>
    <w:p w14:paraId="7D0741E9" w14:textId="77777777" w:rsidR="00132FB6" w:rsidRPr="009E3376" w:rsidRDefault="00132FB6" w:rsidP="00132FB6">
      <w:pPr>
        <w:tabs>
          <w:tab w:val="left" w:pos="360"/>
        </w:tabs>
        <w:overflowPunct/>
        <w:autoSpaceDE/>
        <w:autoSpaceDN/>
        <w:adjustRightInd/>
        <w:jc w:val="both"/>
        <w:textAlignment w:val="auto"/>
        <w:rPr>
          <w:bCs/>
          <w:sz w:val="24"/>
        </w:rPr>
      </w:pPr>
      <w:r w:rsidRPr="009E3376">
        <w:rPr>
          <w:bCs/>
          <w:sz w:val="24"/>
        </w:rPr>
        <w:tab/>
        <w:t>The predecessor to health savings accounts was created in 1996 to entice people to be more conscious of health care costs, and hence, use less of it.  Proponents of HSAs believe that they are an important vehicle that help reduce the growth of health care costs and increase the efficiency of the health care system.  Some have said that they are the most tax-preferred savings vehicle in American history.</w:t>
      </w:r>
    </w:p>
    <w:p w14:paraId="6C8421EE" w14:textId="67274961" w:rsidR="008C3087" w:rsidRPr="009E3376" w:rsidRDefault="00442DC0" w:rsidP="00215D99">
      <w:pPr>
        <w:tabs>
          <w:tab w:val="left" w:pos="360"/>
        </w:tabs>
        <w:overflowPunct/>
        <w:textAlignment w:val="auto"/>
        <w:rPr>
          <w:bCs/>
          <w:sz w:val="24"/>
        </w:rPr>
      </w:pPr>
      <w:r w:rsidRPr="009E3376">
        <w:rPr>
          <w:bCs/>
          <w:sz w:val="24"/>
        </w:rPr>
        <w:tab/>
      </w:r>
      <w:r w:rsidR="008C3087" w:rsidRPr="009E3376">
        <w:rPr>
          <w:bCs/>
          <w:sz w:val="24"/>
        </w:rPr>
        <w:t>The major drawback of an HSA is that it comes with a qualified High-Deductible Health Plan (HDHP).  An HDHP typically has lower premiums but higher deductibles</w:t>
      </w:r>
      <w:r w:rsidR="00215D99" w:rsidRPr="009E3376">
        <w:rPr>
          <w:bCs/>
          <w:sz w:val="24"/>
        </w:rPr>
        <w:t xml:space="preserve"> </w:t>
      </w:r>
      <w:r w:rsidR="007E61A1" w:rsidRPr="009E3376">
        <w:rPr>
          <w:bCs/>
          <w:sz w:val="24"/>
        </w:rPr>
        <w:t>meaning</w:t>
      </w:r>
      <w:r w:rsidR="008C3087" w:rsidRPr="009E3376">
        <w:rPr>
          <w:bCs/>
          <w:sz w:val="24"/>
        </w:rPr>
        <w:t xml:space="preserve"> higher out-of-pocket costs than a traditional health plan.  Also, HSAs must be created before old age </w:t>
      </w:r>
      <w:r w:rsidR="008C3087" w:rsidRPr="009E3376">
        <w:rPr>
          <w:bCs/>
          <w:sz w:val="24"/>
        </w:rPr>
        <w:lastRenderedPageBreak/>
        <w:t>sets in.  Taxpayers enrolled in Medicare Parts A or B, or those that file for Social Security benefits after age 65, cannot make contributions to an HSA.</w:t>
      </w:r>
    </w:p>
    <w:p w14:paraId="24168ECA" w14:textId="6499B24D" w:rsidR="008C3087" w:rsidRPr="009E3376" w:rsidRDefault="008C3087" w:rsidP="00215D99">
      <w:pPr>
        <w:tabs>
          <w:tab w:val="left" w:pos="360"/>
        </w:tabs>
        <w:overflowPunct/>
        <w:textAlignment w:val="auto"/>
        <w:rPr>
          <w:sz w:val="24"/>
        </w:rPr>
      </w:pPr>
      <w:r w:rsidRPr="009E3376">
        <w:rPr>
          <w:bCs/>
          <w:sz w:val="24"/>
        </w:rPr>
        <w:tab/>
        <w:t xml:space="preserve">Payments of medical expenses by an HSA do not impact the individual’s taxable income if the distribution is used for qualified medical expenses (§ 223(d)). If any portion of a distribution is not used for qualified medical expenses, that portion is considered taxable income and is subject to a 20 percent penalty. </w:t>
      </w:r>
      <w:r w:rsidRPr="009E3376">
        <w:rPr>
          <w:sz w:val="24"/>
        </w:rPr>
        <w:t xml:space="preserve"> </w:t>
      </w:r>
      <w:r w:rsidR="00E203B3" w:rsidRPr="009E3376">
        <w:rPr>
          <w:sz w:val="24"/>
        </w:rPr>
        <w:t xml:space="preserve">The Act </w:t>
      </w:r>
      <w:r w:rsidR="00BF7822" w:rsidRPr="009E3376">
        <w:rPr>
          <w:sz w:val="24"/>
        </w:rPr>
        <w:t>makes several changes to HSAs</w:t>
      </w:r>
      <w:r w:rsidR="00E203B3" w:rsidRPr="009E3376">
        <w:rPr>
          <w:sz w:val="24"/>
        </w:rPr>
        <w:t>:</w:t>
      </w:r>
    </w:p>
    <w:p w14:paraId="1070A172" w14:textId="2524BB39" w:rsidR="008C3087" w:rsidRPr="009E3376" w:rsidRDefault="008C3087" w:rsidP="00215D99">
      <w:pPr>
        <w:tabs>
          <w:tab w:val="left" w:pos="360"/>
        </w:tabs>
        <w:overflowPunct/>
        <w:textAlignment w:val="auto"/>
        <w:rPr>
          <w:bCs/>
          <w:sz w:val="24"/>
        </w:rPr>
      </w:pPr>
      <w:r w:rsidRPr="009E3376">
        <w:rPr>
          <w:bCs/>
          <w:sz w:val="24"/>
        </w:rPr>
        <w:tab/>
        <w:t xml:space="preserve">First, the Act eliminated the requirement that medical expenses must be prescribed </w:t>
      </w:r>
      <w:proofErr w:type="gramStart"/>
      <w:r w:rsidRPr="009E3376">
        <w:rPr>
          <w:bCs/>
          <w:sz w:val="24"/>
        </w:rPr>
        <w:t>in order to</w:t>
      </w:r>
      <w:proofErr w:type="gramEnd"/>
      <w:r w:rsidRPr="009E3376">
        <w:rPr>
          <w:bCs/>
          <w:sz w:val="24"/>
        </w:rPr>
        <w:t xml:space="preserve"> qualify. This </w:t>
      </w:r>
      <w:r w:rsidR="00E96B10" w:rsidRPr="009E3376">
        <w:rPr>
          <w:bCs/>
          <w:sz w:val="24"/>
        </w:rPr>
        <w:t>appears</w:t>
      </w:r>
      <w:r w:rsidRPr="009E3376">
        <w:rPr>
          <w:bCs/>
          <w:sz w:val="24"/>
        </w:rPr>
        <w:t xml:space="preserve"> to make payment of over-the-counter remedies qualified medical expenses but only for purposes of HSA distributions.</w:t>
      </w:r>
    </w:p>
    <w:p w14:paraId="4BEE3F85" w14:textId="6355E58D" w:rsidR="008C3087" w:rsidRPr="009E3376" w:rsidRDefault="008C3087" w:rsidP="00215D99">
      <w:pPr>
        <w:tabs>
          <w:tab w:val="left" w:pos="360"/>
        </w:tabs>
        <w:overflowPunct/>
        <w:textAlignment w:val="auto"/>
        <w:rPr>
          <w:bCs/>
          <w:sz w:val="24"/>
        </w:rPr>
      </w:pPr>
      <w:r w:rsidRPr="009E3376">
        <w:rPr>
          <w:bCs/>
          <w:sz w:val="24"/>
        </w:rPr>
        <w:tab/>
        <w:t>Second,</w:t>
      </w:r>
      <w:r w:rsidRPr="009E3376">
        <w:rPr>
          <w:sz w:val="24"/>
        </w:rPr>
        <w:t xml:space="preserve"> the Act expands the definition of qualified medical expenses to include amounts paid for “menstrual care products” (</w:t>
      </w:r>
      <w:r w:rsidR="00E96B10" w:rsidRPr="009E3376">
        <w:rPr>
          <w:sz w:val="24"/>
        </w:rPr>
        <w:t xml:space="preserve">Act </w:t>
      </w:r>
      <w:r w:rsidRPr="009E3376">
        <w:rPr>
          <w:sz w:val="24"/>
        </w:rPr>
        <w:t>§ 233(d)(2)). The Act explains that “menstrual care products” include tampons, pads, liners, cups, sponges, or similar products used by individuals with respect to menstruation or other genital-tract secretions.  As a result, taxpayers who have a health savings accounts (HSAs), health reimbursement arrangements (HRAs), health flexible spending accounts (health FSAs), and Archer medical savings accounts (Archer MSAs) can contribute to such accounts and use those funds for such expenses on a pretax basis.</w:t>
      </w:r>
    </w:p>
    <w:p w14:paraId="0E07B87F" w14:textId="48F3C6A0" w:rsidR="008C3087" w:rsidRPr="009E3376" w:rsidRDefault="008C3087" w:rsidP="00215D99">
      <w:pPr>
        <w:tabs>
          <w:tab w:val="left" w:pos="360"/>
        </w:tabs>
        <w:overflowPunct/>
        <w:textAlignment w:val="auto"/>
        <w:rPr>
          <w:sz w:val="24"/>
        </w:rPr>
      </w:pPr>
      <w:r w:rsidRPr="009E3376">
        <w:rPr>
          <w:bCs/>
          <w:sz w:val="24"/>
        </w:rPr>
        <w:tab/>
        <w:t xml:space="preserve">Finally, the Act addresses telemedicine.  Many employers have utilized telemedicine as a part of their group medical program, either integrated with the group health plan or as a separate benefit.  This is particularly true since the </w:t>
      </w:r>
      <w:r w:rsidR="00E96B10" w:rsidRPr="009E3376">
        <w:rPr>
          <w:bCs/>
          <w:sz w:val="24"/>
        </w:rPr>
        <w:t>arrival</w:t>
      </w:r>
      <w:r w:rsidRPr="009E3376">
        <w:rPr>
          <w:bCs/>
          <w:sz w:val="24"/>
        </w:rPr>
        <w:t xml:space="preserve"> of COVID-19.  Prior to the Act, the IRS did not allow those expenses (e.g., the cost of telemedicine) to be reimbursed under a high-deductible health plan (HDHP) until the plan’s deductible was satisfied</w:t>
      </w:r>
      <w:r w:rsidRPr="009E3376">
        <w:rPr>
          <w:b/>
          <w:sz w:val="24"/>
        </w:rPr>
        <w:t xml:space="preserve">.  </w:t>
      </w:r>
      <w:r w:rsidRPr="009E3376">
        <w:rPr>
          <w:bCs/>
          <w:sz w:val="24"/>
        </w:rPr>
        <w:t xml:space="preserve">In other words, if the deductible had not been satisfied, the cost of the televisit (i.e., a word so new that it’s not in most dictionaries) would not be a qualified medical expense.  In such case, payment for a televisit by the HSA would be considered a taxable distribution and a </w:t>
      </w:r>
      <w:r w:rsidR="00E96B10" w:rsidRPr="009E3376">
        <w:rPr>
          <w:bCs/>
          <w:sz w:val="24"/>
        </w:rPr>
        <w:t xml:space="preserve">20% </w:t>
      </w:r>
      <w:r w:rsidRPr="009E3376">
        <w:rPr>
          <w:bCs/>
          <w:sz w:val="24"/>
        </w:rPr>
        <w:t xml:space="preserve">penalty also would be assessed.  In effect, the cost of the televisit would be paid with after-tax dollars plus 20%.  </w:t>
      </w:r>
      <w:r w:rsidRPr="009E3376">
        <w:rPr>
          <w:sz w:val="24"/>
        </w:rPr>
        <w:t>The Act alters that approach and allows a high deductible health plan to provide telehealth and remote care services before the deductible is reached for 2020 and 2021.</w:t>
      </w:r>
    </w:p>
    <w:p w14:paraId="593D982F" w14:textId="77777777" w:rsidR="008C3087" w:rsidRPr="00371EE1" w:rsidRDefault="008C3087" w:rsidP="008C3087">
      <w:pPr>
        <w:overflowPunct/>
        <w:textAlignment w:val="auto"/>
        <w:rPr>
          <w:sz w:val="24"/>
          <w:highlight w:val="yellow"/>
        </w:rPr>
      </w:pPr>
    </w:p>
    <w:p w14:paraId="0034437C" w14:textId="3E122F77" w:rsidR="00011F0A" w:rsidRPr="009E3376" w:rsidRDefault="00994D2B" w:rsidP="008C3087">
      <w:pPr>
        <w:overflowPunct/>
        <w:textAlignment w:val="auto"/>
        <w:rPr>
          <w:sz w:val="24"/>
        </w:rPr>
      </w:pPr>
      <w:r w:rsidRPr="009E3376">
        <w:rPr>
          <w:b/>
          <w:bCs/>
          <w:sz w:val="24"/>
        </w:rPr>
        <w:t xml:space="preserve">Group Health Plans:  </w:t>
      </w:r>
      <w:r w:rsidR="008C3087" w:rsidRPr="009E3376">
        <w:rPr>
          <w:b/>
          <w:bCs/>
          <w:sz w:val="24"/>
        </w:rPr>
        <w:t>Required Coverage of COVID-19 Expenses</w:t>
      </w:r>
      <w:r w:rsidR="008C3087" w:rsidRPr="009E3376">
        <w:rPr>
          <w:sz w:val="24"/>
        </w:rPr>
        <w:t xml:space="preserve">.  </w:t>
      </w:r>
    </w:p>
    <w:p w14:paraId="5354E462" w14:textId="77777777" w:rsidR="00011F0A" w:rsidRPr="009E3376" w:rsidRDefault="00011F0A" w:rsidP="008C3087">
      <w:pPr>
        <w:overflowPunct/>
        <w:textAlignment w:val="auto"/>
        <w:rPr>
          <w:sz w:val="24"/>
        </w:rPr>
      </w:pPr>
    </w:p>
    <w:p w14:paraId="2B0417D2" w14:textId="700D8FDC" w:rsidR="008C3087" w:rsidRPr="009E3376" w:rsidRDefault="008C3087" w:rsidP="008C3087">
      <w:pPr>
        <w:overflowPunct/>
        <w:textAlignment w:val="auto"/>
        <w:rPr>
          <w:sz w:val="24"/>
        </w:rPr>
      </w:pPr>
      <w:r w:rsidRPr="009E3376">
        <w:rPr>
          <w:sz w:val="24"/>
        </w:rPr>
        <w:t xml:space="preserve">The Act requires that all group health plans must cover COVID-19 diagnostic testing and </w:t>
      </w:r>
      <w:r w:rsidR="00E96B10" w:rsidRPr="009E3376">
        <w:rPr>
          <w:sz w:val="24"/>
        </w:rPr>
        <w:t xml:space="preserve">any </w:t>
      </w:r>
      <w:r w:rsidRPr="009E3376">
        <w:rPr>
          <w:sz w:val="24"/>
        </w:rPr>
        <w:t xml:space="preserve">related visits at no cost to consumers.  The Act expands this coverage to include in vitro diagnostic testing for the detection of SARS, CoV-2 as well as COVID-19 provided such tests are approved, </w:t>
      </w:r>
      <w:proofErr w:type="gramStart"/>
      <w:r w:rsidRPr="009E3376">
        <w:rPr>
          <w:sz w:val="24"/>
        </w:rPr>
        <w:t>cleared</w:t>
      </w:r>
      <w:proofErr w:type="gramEnd"/>
      <w:r w:rsidRPr="009E3376">
        <w:rPr>
          <w:sz w:val="24"/>
        </w:rPr>
        <w:t xml:space="preserve"> or authorized by the FDA, furnished to a participant during an office visit (in person or by telehealth), urgent care visit, or emergency room visit resulting in an order for or administration of such test.  The Act also requires group health plans to cover “qualifying coronavirus preventive service.”  A qualifying coronavirus preventive service is an item, service or immunization that is intended to prevent or mitigate COVID-19.  The requirement to cover a qualifying coronavirus preventive service takes effect 14 business days after the date on which a recommendation is made relating to such service.</w:t>
      </w:r>
    </w:p>
    <w:p w14:paraId="5AB3C18B" w14:textId="77777777" w:rsidR="00994D2B" w:rsidRPr="009E3376" w:rsidRDefault="00994D2B" w:rsidP="008C3087">
      <w:pPr>
        <w:overflowPunct/>
        <w:textAlignment w:val="auto"/>
        <w:rPr>
          <w:sz w:val="24"/>
        </w:rPr>
      </w:pPr>
    </w:p>
    <w:p w14:paraId="3D14DF1E" w14:textId="7A5E2B9C" w:rsidR="00994D2B" w:rsidRPr="009E3376" w:rsidRDefault="008C3087" w:rsidP="008C3087">
      <w:pPr>
        <w:overflowPunct/>
        <w:textAlignment w:val="auto"/>
        <w:rPr>
          <w:sz w:val="24"/>
        </w:rPr>
      </w:pPr>
      <w:r w:rsidRPr="009E3376">
        <w:rPr>
          <w:b/>
          <w:bCs/>
          <w:sz w:val="24"/>
        </w:rPr>
        <w:t>High Deductible Health Plans</w:t>
      </w:r>
      <w:r w:rsidR="00040E61" w:rsidRPr="009E3376">
        <w:rPr>
          <w:sz w:val="24"/>
        </w:rPr>
        <w:t xml:space="preserve"> (HDHPs)</w:t>
      </w:r>
    </w:p>
    <w:p w14:paraId="410DE488" w14:textId="77777777" w:rsidR="00994D2B" w:rsidRPr="009E3376" w:rsidRDefault="00994D2B" w:rsidP="008C3087">
      <w:pPr>
        <w:overflowPunct/>
        <w:textAlignment w:val="auto"/>
        <w:rPr>
          <w:sz w:val="24"/>
        </w:rPr>
      </w:pPr>
    </w:p>
    <w:p w14:paraId="7F49E208" w14:textId="5DC34CB3" w:rsidR="008C3087" w:rsidRPr="009E3376" w:rsidRDefault="00941B7E" w:rsidP="008C3087">
      <w:pPr>
        <w:overflowPunct/>
        <w:textAlignment w:val="auto"/>
        <w:rPr>
          <w:sz w:val="24"/>
        </w:rPr>
      </w:pPr>
      <w:r w:rsidRPr="009E3376">
        <w:rPr>
          <w:sz w:val="24"/>
        </w:rPr>
        <w:t>According to IRS Notice 2020-15, a high deductible health plan’s payment of testing or treatment for COVID-19 without a deductible will not affect such plan’s status as a high deductible health plan. High-deductible health plans (HDHPs) can pay for COVID-19 related testing and treatment without jeopardizing their status, regardless of whether the plan’s deductible has been met (Notice 2020-15 (03/11/20)).</w:t>
      </w:r>
      <w:r w:rsidR="008C3087" w:rsidRPr="009E3376">
        <w:rPr>
          <w:sz w:val="24"/>
        </w:rPr>
        <w:t xml:space="preserve">  </w:t>
      </w:r>
    </w:p>
    <w:p w14:paraId="1141E09B" w14:textId="1FA405B9" w:rsidR="00011F0A" w:rsidRPr="009E3376" w:rsidRDefault="002306BB" w:rsidP="002306BB">
      <w:pPr>
        <w:overflowPunct/>
        <w:autoSpaceDE/>
        <w:autoSpaceDN/>
        <w:adjustRightInd/>
        <w:jc w:val="both"/>
        <w:textAlignment w:val="auto"/>
        <w:rPr>
          <w:b/>
          <w:bCs/>
          <w:sz w:val="24"/>
        </w:rPr>
      </w:pPr>
      <w:r w:rsidRPr="009E3376">
        <w:rPr>
          <w:b/>
          <w:bCs/>
          <w:sz w:val="24"/>
        </w:rPr>
        <w:lastRenderedPageBreak/>
        <w:t xml:space="preserve">Employment Taxes: </w:t>
      </w:r>
      <w:r w:rsidR="00096656" w:rsidRPr="009E3376">
        <w:rPr>
          <w:b/>
          <w:bCs/>
          <w:sz w:val="24"/>
        </w:rPr>
        <w:t>Deferral</w:t>
      </w:r>
      <w:r w:rsidRPr="009E3376">
        <w:rPr>
          <w:b/>
          <w:bCs/>
          <w:sz w:val="24"/>
        </w:rPr>
        <w:t xml:space="preserve"> of Payment of Employer Share of Payroll Taxes. </w:t>
      </w:r>
    </w:p>
    <w:p w14:paraId="1DAC909B" w14:textId="77777777" w:rsidR="00011F0A" w:rsidRPr="009E3376" w:rsidRDefault="00011F0A" w:rsidP="002306BB">
      <w:pPr>
        <w:overflowPunct/>
        <w:autoSpaceDE/>
        <w:autoSpaceDN/>
        <w:adjustRightInd/>
        <w:jc w:val="both"/>
        <w:textAlignment w:val="auto"/>
        <w:rPr>
          <w:b/>
          <w:bCs/>
          <w:sz w:val="24"/>
        </w:rPr>
      </w:pPr>
    </w:p>
    <w:p w14:paraId="118C5CDF" w14:textId="6077DCF4" w:rsidR="006C5C3B" w:rsidRPr="009E3376" w:rsidRDefault="00793142" w:rsidP="002306BB">
      <w:pPr>
        <w:overflowPunct/>
        <w:autoSpaceDE/>
        <w:autoSpaceDN/>
        <w:adjustRightInd/>
        <w:jc w:val="both"/>
        <w:textAlignment w:val="auto"/>
        <w:rPr>
          <w:sz w:val="24"/>
        </w:rPr>
      </w:pPr>
      <w:proofErr w:type="gramStart"/>
      <w:r w:rsidRPr="009E3376">
        <w:rPr>
          <w:bCs/>
          <w:sz w:val="24"/>
        </w:rPr>
        <w:t>As a general rule</w:t>
      </w:r>
      <w:proofErr w:type="gramEnd"/>
      <w:r w:rsidRPr="009E3376">
        <w:rPr>
          <w:bCs/>
          <w:sz w:val="24"/>
        </w:rPr>
        <w:t>, employers as well as self-employed individuals are required to pay employment taxes</w:t>
      </w:r>
      <w:r w:rsidR="00065160" w:rsidRPr="009E3376">
        <w:rPr>
          <w:bCs/>
          <w:sz w:val="24"/>
        </w:rPr>
        <w:t>.  Such taxes are deductible since they are ordinary and necessary business expense</w:t>
      </w:r>
      <w:r w:rsidR="00941B7E" w:rsidRPr="009E3376">
        <w:rPr>
          <w:bCs/>
          <w:sz w:val="24"/>
        </w:rPr>
        <w:t>s</w:t>
      </w:r>
      <w:r w:rsidR="00065160" w:rsidRPr="009E3376">
        <w:rPr>
          <w:bCs/>
          <w:sz w:val="24"/>
        </w:rPr>
        <w:t xml:space="preserve">.  </w:t>
      </w:r>
      <w:r w:rsidR="002306BB" w:rsidRPr="009E3376">
        <w:rPr>
          <w:sz w:val="24"/>
        </w:rPr>
        <w:t xml:space="preserve">The Act </w:t>
      </w:r>
      <w:r w:rsidR="00065160" w:rsidRPr="009E3376">
        <w:rPr>
          <w:sz w:val="24"/>
        </w:rPr>
        <w:t xml:space="preserve">does not change the deduction for such expenses.  However, the </w:t>
      </w:r>
      <w:r w:rsidR="006C5C3B" w:rsidRPr="009E3376">
        <w:rPr>
          <w:sz w:val="24"/>
        </w:rPr>
        <w:t xml:space="preserve">CARES </w:t>
      </w:r>
      <w:r w:rsidR="00065160" w:rsidRPr="009E3376">
        <w:rPr>
          <w:sz w:val="24"/>
        </w:rPr>
        <w:t xml:space="preserve">Act does allow employers and self-employed individual to postpone </w:t>
      </w:r>
      <w:r w:rsidR="006C5C3B" w:rsidRPr="009E3376">
        <w:rPr>
          <w:sz w:val="24"/>
        </w:rPr>
        <w:t>their payment</w:t>
      </w:r>
      <w:r w:rsidR="00065160" w:rsidRPr="009E3376">
        <w:rPr>
          <w:sz w:val="24"/>
        </w:rPr>
        <w:t xml:space="preserve">.  The Act </w:t>
      </w:r>
      <w:r w:rsidR="002306BB" w:rsidRPr="009E3376">
        <w:rPr>
          <w:sz w:val="24"/>
        </w:rPr>
        <w:t>generally allows most employers and self-employed individuals to defer payment of the employer share of Social Security taxes (the 6.2% portion up to the maximum wage base of $137,700 for 2020</w:t>
      </w:r>
      <w:r w:rsidR="00011F0A" w:rsidRPr="009E3376">
        <w:rPr>
          <w:sz w:val="24"/>
        </w:rPr>
        <w:t xml:space="preserve"> (up to $8,537.40)</w:t>
      </w:r>
      <w:r w:rsidR="002306BB" w:rsidRPr="009E3376">
        <w:rPr>
          <w:sz w:val="24"/>
        </w:rPr>
        <w:t xml:space="preserve">) incurred between the date </w:t>
      </w:r>
      <w:r w:rsidR="00065160" w:rsidRPr="009E3376">
        <w:rPr>
          <w:sz w:val="24"/>
        </w:rPr>
        <w:t xml:space="preserve">the Act became law, March 27, </w:t>
      </w:r>
      <w:proofErr w:type="gramStart"/>
      <w:r w:rsidR="00065160" w:rsidRPr="009E3376">
        <w:rPr>
          <w:sz w:val="24"/>
        </w:rPr>
        <w:t>2020</w:t>
      </w:r>
      <w:proofErr w:type="gramEnd"/>
      <w:r w:rsidR="002306BB" w:rsidRPr="009E3376">
        <w:rPr>
          <w:sz w:val="24"/>
        </w:rPr>
        <w:t xml:space="preserve"> and December 31, 2020.  The payroll tax deferral does not include the employer’s portion of Medicare </w:t>
      </w:r>
      <w:proofErr w:type="gramStart"/>
      <w:r w:rsidR="002306BB" w:rsidRPr="009E3376">
        <w:rPr>
          <w:sz w:val="24"/>
        </w:rPr>
        <w:t>taxes</w:t>
      </w:r>
      <w:proofErr w:type="gramEnd"/>
      <w:r w:rsidR="002306BB" w:rsidRPr="009E3376">
        <w:rPr>
          <w:sz w:val="24"/>
        </w:rPr>
        <w:t xml:space="preserve"> or any amounts withheld from </w:t>
      </w:r>
      <w:r w:rsidR="00011F0A" w:rsidRPr="009E3376">
        <w:rPr>
          <w:sz w:val="24"/>
        </w:rPr>
        <w:t xml:space="preserve">the pay of </w:t>
      </w:r>
      <w:r w:rsidR="002306BB" w:rsidRPr="009E3376">
        <w:rPr>
          <w:sz w:val="24"/>
        </w:rPr>
        <w:t xml:space="preserve">employees (income tax withholdings and employee’s share of Social Security and Medicare).  </w:t>
      </w:r>
    </w:p>
    <w:p w14:paraId="1B58B597" w14:textId="0A7DE0E0" w:rsidR="002306BB" w:rsidRPr="009E3376" w:rsidRDefault="006C5C3B" w:rsidP="002306BB">
      <w:pPr>
        <w:overflowPunct/>
        <w:autoSpaceDE/>
        <w:autoSpaceDN/>
        <w:adjustRightInd/>
        <w:jc w:val="both"/>
        <w:textAlignment w:val="auto"/>
        <w:rPr>
          <w:sz w:val="24"/>
        </w:rPr>
      </w:pPr>
      <w:r w:rsidRPr="009E3376">
        <w:rPr>
          <w:sz w:val="24"/>
        </w:rPr>
        <w:tab/>
      </w:r>
      <w:r w:rsidR="002306BB" w:rsidRPr="009E3376">
        <w:rPr>
          <w:sz w:val="24"/>
        </w:rPr>
        <w:t xml:space="preserve">Taxes that were due to be submitted on March 27, </w:t>
      </w:r>
      <w:proofErr w:type="gramStart"/>
      <w:r w:rsidR="002306BB" w:rsidRPr="009E3376">
        <w:rPr>
          <w:sz w:val="24"/>
        </w:rPr>
        <w:t>2020</w:t>
      </w:r>
      <w:proofErr w:type="gramEnd"/>
      <w:r w:rsidR="002306BB" w:rsidRPr="009E3376">
        <w:rPr>
          <w:sz w:val="24"/>
        </w:rPr>
        <w:t xml:space="preserve"> or later are eligible for deferral. There is no maximum amount of qualifying payroll taxes that can be deferred.  Such amounts are to be paid over the following two years, with half due on December 31, 2021, and the other half due on December 31, 2022. </w:t>
      </w:r>
      <w:r w:rsidR="002306BB" w:rsidRPr="009E3376">
        <w:rPr>
          <w:rFonts w:ascii="ArialMT" w:hAnsi="ArialMT" w:cs="ArialMT"/>
          <w:szCs w:val="22"/>
        </w:rPr>
        <w:t xml:space="preserve"> </w:t>
      </w:r>
      <w:r w:rsidR="002306BB" w:rsidRPr="009E3376">
        <w:rPr>
          <w:sz w:val="24"/>
        </w:rPr>
        <w:t xml:space="preserve">(Act §2302(a)(1) and (b)).  </w:t>
      </w:r>
      <w:r w:rsidR="00414E21" w:rsidRPr="009E3376">
        <w:rPr>
          <w:sz w:val="24"/>
        </w:rPr>
        <w:t>Unlike other provisions in the CARES Act, the size of the employer (e.g., number of employees) is irrelevant</w:t>
      </w:r>
    </w:p>
    <w:p w14:paraId="4B1FA6D7" w14:textId="77777777" w:rsidR="0047475C" w:rsidRPr="009E3376" w:rsidRDefault="0047475C" w:rsidP="0047475C">
      <w:pPr>
        <w:overflowPunct/>
        <w:textAlignment w:val="auto"/>
        <w:rPr>
          <w:rFonts w:ascii="ArialMT,Bold" w:hAnsi="ArialMT,Bold" w:cs="ArialMT,Bold"/>
          <w:b/>
          <w:bCs/>
          <w:szCs w:val="22"/>
        </w:rPr>
      </w:pPr>
    </w:p>
    <w:p w14:paraId="4F1FDEDA" w14:textId="0C4084DA" w:rsidR="006C5C3B" w:rsidRPr="009E3376" w:rsidRDefault="007E6006" w:rsidP="006C5C3B">
      <w:pPr>
        <w:overflowPunct/>
        <w:textAlignment w:val="auto"/>
        <w:rPr>
          <w:bCs/>
          <w:sz w:val="24"/>
        </w:rPr>
      </w:pPr>
      <w:r w:rsidRPr="009E3376">
        <w:rPr>
          <w:b/>
          <w:bCs/>
          <w:sz w:val="24"/>
        </w:rPr>
        <w:t xml:space="preserve">Example </w:t>
      </w:r>
      <w:r w:rsidR="004D22F0" w:rsidRPr="009E3376">
        <w:rPr>
          <w:b/>
          <w:bCs/>
          <w:sz w:val="24"/>
        </w:rPr>
        <w:t>8</w:t>
      </w:r>
      <w:r w:rsidRPr="009E3376">
        <w:rPr>
          <w:b/>
          <w:bCs/>
          <w:sz w:val="24"/>
        </w:rPr>
        <w:t>.</w:t>
      </w:r>
      <w:r w:rsidR="00775411" w:rsidRPr="009E3376">
        <w:rPr>
          <w:b/>
          <w:bCs/>
          <w:sz w:val="24"/>
        </w:rPr>
        <w:t xml:space="preserve">  </w:t>
      </w:r>
      <w:r w:rsidR="006C5C3B" w:rsidRPr="009E3376">
        <w:rPr>
          <w:bCs/>
          <w:sz w:val="24"/>
        </w:rPr>
        <w:t xml:space="preserve">For the first three months of 2020,  FXG Corporation paid its employees total wages of $400,000.  It’s share of Social Security taxes was $24,800 (6.2% x $400,000).  The corporation is allowed to postpone payment of the tax over the next two years, $12,400 (50% x $2,480) is due on December 31, </w:t>
      </w:r>
      <w:proofErr w:type="gramStart"/>
      <w:r w:rsidR="006C5C3B" w:rsidRPr="009E3376">
        <w:rPr>
          <w:bCs/>
          <w:sz w:val="24"/>
        </w:rPr>
        <w:t>2021</w:t>
      </w:r>
      <w:proofErr w:type="gramEnd"/>
      <w:r w:rsidR="006C5C3B" w:rsidRPr="009E3376">
        <w:rPr>
          <w:bCs/>
          <w:sz w:val="24"/>
        </w:rPr>
        <w:t xml:space="preserve"> and the remaining $12,400 is due on December 31, 2022.</w:t>
      </w:r>
    </w:p>
    <w:p w14:paraId="3D7DE74C" w14:textId="20B80837" w:rsidR="007E6006" w:rsidRPr="009E3376" w:rsidRDefault="007E6006" w:rsidP="0047475C">
      <w:pPr>
        <w:overflowPunct/>
        <w:textAlignment w:val="auto"/>
        <w:rPr>
          <w:b/>
          <w:bCs/>
          <w:sz w:val="24"/>
        </w:rPr>
      </w:pPr>
    </w:p>
    <w:p w14:paraId="1850542F" w14:textId="6BEF6C67" w:rsidR="0047475C" w:rsidRPr="009E3376" w:rsidRDefault="0047475C" w:rsidP="0047475C">
      <w:pPr>
        <w:overflowPunct/>
        <w:textAlignment w:val="auto"/>
        <w:rPr>
          <w:bCs/>
          <w:sz w:val="24"/>
        </w:rPr>
      </w:pPr>
      <w:r w:rsidRPr="009E3376">
        <w:rPr>
          <w:b/>
          <w:bCs/>
          <w:sz w:val="24"/>
        </w:rPr>
        <w:t xml:space="preserve">Example </w:t>
      </w:r>
      <w:r w:rsidR="004D22F0" w:rsidRPr="009E3376">
        <w:rPr>
          <w:b/>
          <w:bCs/>
          <w:sz w:val="24"/>
        </w:rPr>
        <w:t>9</w:t>
      </w:r>
      <w:r w:rsidRPr="009E3376">
        <w:rPr>
          <w:b/>
          <w:bCs/>
          <w:sz w:val="24"/>
        </w:rPr>
        <w:t xml:space="preserve">. </w:t>
      </w:r>
      <w:r w:rsidRPr="009E3376">
        <w:rPr>
          <w:sz w:val="24"/>
        </w:rPr>
        <w:t xml:space="preserve"> </w:t>
      </w:r>
      <w:r w:rsidRPr="009E3376">
        <w:rPr>
          <w:bCs/>
          <w:sz w:val="24"/>
        </w:rPr>
        <w:t>Andrea, a self-employed taxpayer, has $100,000 of net profit from a Schedule C business. Therefore, her self-employment tax is $15,300</w:t>
      </w:r>
      <w:r w:rsidR="00011F0A" w:rsidRPr="009E3376">
        <w:rPr>
          <w:bCs/>
          <w:sz w:val="24"/>
        </w:rPr>
        <w:t xml:space="preserve"> (15.3% x $100,000)</w:t>
      </w:r>
      <w:r w:rsidRPr="009E3376">
        <w:rPr>
          <w:bCs/>
          <w:sz w:val="24"/>
        </w:rPr>
        <w:t>. Under this new provision, if elected, she can choose to pay 50% of this tax</w:t>
      </w:r>
      <w:r w:rsidR="00A34043" w:rsidRPr="009E3376">
        <w:rPr>
          <w:bCs/>
          <w:sz w:val="24"/>
        </w:rPr>
        <w:t>,</w:t>
      </w:r>
      <w:r w:rsidRPr="009E3376">
        <w:rPr>
          <w:bCs/>
          <w:sz w:val="24"/>
        </w:rPr>
        <w:t xml:space="preserve"> </w:t>
      </w:r>
      <w:r w:rsidR="00A34043" w:rsidRPr="009E3376">
        <w:rPr>
          <w:bCs/>
          <w:sz w:val="24"/>
        </w:rPr>
        <w:t>$7,650,</w:t>
      </w:r>
      <w:r w:rsidRPr="009E3376">
        <w:rPr>
          <w:bCs/>
          <w:sz w:val="24"/>
        </w:rPr>
        <w:t xml:space="preserve"> </w:t>
      </w:r>
      <w:r w:rsidR="00A34043" w:rsidRPr="009E3376">
        <w:rPr>
          <w:bCs/>
          <w:sz w:val="24"/>
        </w:rPr>
        <w:t xml:space="preserve">by </w:t>
      </w:r>
      <w:r w:rsidRPr="009E3376">
        <w:rPr>
          <w:bCs/>
          <w:sz w:val="24"/>
        </w:rPr>
        <w:t>12/31/21 and the other 50% by 12/31/22 (i.e., without incurring any interest or penalties).</w:t>
      </w:r>
    </w:p>
    <w:p w14:paraId="5CBA4CE3" w14:textId="77777777" w:rsidR="0047475C" w:rsidRPr="009E3376" w:rsidRDefault="0047475C" w:rsidP="0047475C">
      <w:pPr>
        <w:overflowPunct/>
        <w:autoSpaceDE/>
        <w:autoSpaceDN/>
        <w:adjustRightInd/>
        <w:jc w:val="both"/>
        <w:textAlignment w:val="auto"/>
        <w:rPr>
          <w:bCs/>
          <w:sz w:val="24"/>
        </w:rPr>
      </w:pPr>
    </w:p>
    <w:p w14:paraId="1ECC3D5D" w14:textId="3C82C5DB" w:rsidR="00793142" w:rsidRPr="009E3376" w:rsidRDefault="00793142" w:rsidP="005667ED">
      <w:pPr>
        <w:overflowPunct/>
        <w:jc w:val="both"/>
        <w:textAlignment w:val="auto"/>
        <w:rPr>
          <w:bCs/>
          <w:sz w:val="24"/>
        </w:rPr>
      </w:pPr>
      <w:r w:rsidRPr="009E3376">
        <w:rPr>
          <w:sz w:val="24"/>
        </w:rPr>
        <w:t xml:space="preserve">As the examples above illustrate, the benefits of postponing payment of the payroll taxes </w:t>
      </w:r>
      <w:r w:rsidR="00EF0832" w:rsidRPr="009E3376">
        <w:rPr>
          <w:sz w:val="24"/>
        </w:rPr>
        <w:t xml:space="preserve">are </w:t>
      </w:r>
      <w:r w:rsidR="006C5C3B" w:rsidRPr="009E3376">
        <w:rPr>
          <w:sz w:val="24"/>
        </w:rPr>
        <w:t>potentially huge.</w:t>
      </w:r>
      <w:r w:rsidRPr="009E3376">
        <w:rPr>
          <w:sz w:val="24"/>
        </w:rPr>
        <w:t xml:space="preserve">  Initially, there was uncertainty about certain aspects of the calculation.  As </w:t>
      </w:r>
      <w:r w:rsidR="005667ED" w:rsidRPr="009E3376">
        <w:rPr>
          <w:sz w:val="24"/>
        </w:rPr>
        <w:t xml:space="preserve">mentioned above and </w:t>
      </w:r>
      <w:r w:rsidRPr="009E3376">
        <w:rPr>
          <w:sz w:val="24"/>
        </w:rPr>
        <w:t>discussed below, employers generally are allowed to reduce the payroll taxes they must pay by the amount of any sick pay they are required to pay under FFCRA (i.e., the payroll tax credit).  In addition, employers are entitled to a credit based on employee retention (i.e., the employee retention credit</w:t>
      </w:r>
      <w:r w:rsidR="006C5C3B" w:rsidRPr="009E3376">
        <w:rPr>
          <w:sz w:val="24"/>
        </w:rPr>
        <w:t>)</w:t>
      </w:r>
      <w:r w:rsidRPr="009E3376">
        <w:rPr>
          <w:sz w:val="24"/>
        </w:rPr>
        <w:t>.  The question in computing the amount of employment taxes that could be deferred (above)</w:t>
      </w:r>
      <w:r w:rsidR="005667ED" w:rsidRPr="009E3376">
        <w:rPr>
          <w:sz w:val="24"/>
        </w:rPr>
        <w:t xml:space="preserve"> was</w:t>
      </w:r>
      <w:r w:rsidRPr="009E3376">
        <w:rPr>
          <w:sz w:val="24"/>
        </w:rPr>
        <w:t xml:space="preserve"> whether such taxes had to be reduced by these credits.  The IRS has explained that such credits are not </w:t>
      </w:r>
      <w:proofErr w:type="gramStart"/>
      <w:r w:rsidRPr="009E3376">
        <w:rPr>
          <w:sz w:val="24"/>
        </w:rPr>
        <w:t>taken into account</w:t>
      </w:r>
      <w:proofErr w:type="gramEnd"/>
      <w:r w:rsidRPr="009E3376">
        <w:rPr>
          <w:sz w:val="24"/>
        </w:rPr>
        <w:t>.</w:t>
      </w:r>
    </w:p>
    <w:p w14:paraId="3E0796D5" w14:textId="77777777" w:rsidR="00793142" w:rsidRPr="009E3376" w:rsidRDefault="00793142" w:rsidP="0047475C">
      <w:pPr>
        <w:overflowPunct/>
        <w:autoSpaceDE/>
        <w:autoSpaceDN/>
        <w:adjustRightInd/>
        <w:jc w:val="both"/>
        <w:textAlignment w:val="auto"/>
        <w:rPr>
          <w:sz w:val="24"/>
        </w:rPr>
      </w:pPr>
    </w:p>
    <w:p w14:paraId="33C05AC4" w14:textId="3AB7A3F2" w:rsidR="00A34043" w:rsidRPr="007C6BFE" w:rsidRDefault="00A34043" w:rsidP="00A34043">
      <w:pPr>
        <w:overflowPunct/>
        <w:autoSpaceDE/>
        <w:autoSpaceDN/>
        <w:adjustRightInd/>
        <w:jc w:val="both"/>
        <w:textAlignment w:val="auto"/>
        <w:rPr>
          <w:bCs/>
          <w:sz w:val="24"/>
        </w:rPr>
      </w:pPr>
      <w:r w:rsidRPr="007C6BFE">
        <w:rPr>
          <w:b/>
          <w:sz w:val="24"/>
        </w:rPr>
        <w:t xml:space="preserve">Effect of </w:t>
      </w:r>
      <w:r w:rsidR="001C28CA" w:rsidRPr="007C6BFE">
        <w:rPr>
          <w:b/>
          <w:sz w:val="24"/>
        </w:rPr>
        <w:t xml:space="preserve">Paycheck </w:t>
      </w:r>
      <w:r w:rsidRPr="007C6BFE">
        <w:rPr>
          <w:b/>
          <w:sz w:val="24"/>
        </w:rPr>
        <w:t xml:space="preserve">Protection Program Loans (PPP Loans) on Deferral of Payroll Taxes.  </w:t>
      </w:r>
      <w:r w:rsidRPr="007C6BFE">
        <w:rPr>
          <w:sz w:val="24"/>
        </w:rPr>
        <w:t xml:space="preserve">Special rules may impact the employer’s deferral of payroll taxes.  As discussed </w:t>
      </w:r>
      <w:r w:rsidR="00FE149F" w:rsidRPr="007C6BFE">
        <w:rPr>
          <w:sz w:val="24"/>
        </w:rPr>
        <w:t>below,</w:t>
      </w:r>
      <w:r w:rsidR="00414E21" w:rsidRPr="007C6BFE">
        <w:rPr>
          <w:sz w:val="24"/>
        </w:rPr>
        <w:t xml:space="preserve"> b</w:t>
      </w:r>
      <w:r w:rsidRPr="007C6BFE">
        <w:rPr>
          <w:sz w:val="24"/>
        </w:rPr>
        <w:t xml:space="preserve">usinesses may apply and receive loans from the Small Business Administration to help them stay afloat during the </w:t>
      </w:r>
      <w:r w:rsidR="002C6EF7" w:rsidRPr="007C6BFE">
        <w:rPr>
          <w:sz w:val="24"/>
        </w:rPr>
        <w:t xml:space="preserve">coronavirus </w:t>
      </w:r>
      <w:r w:rsidRPr="007C6BFE">
        <w:rPr>
          <w:sz w:val="24"/>
        </w:rPr>
        <w:t xml:space="preserve">pandemic.  Generally, a business is not required to repay these loans as long it does not layoff employees and uses the funds for qualified </w:t>
      </w:r>
      <w:r w:rsidRPr="007C6BFE">
        <w:rPr>
          <w:bCs/>
          <w:sz w:val="24"/>
        </w:rPr>
        <w:t xml:space="preserve">expenses (e.g., salaries, rent, mortgage interest, or utilities),  Moreover, the cancellation of these loans does produce cancellation of indebtedness income (i.e., the cancellation does not yield taxable income).  </w:t>
      </w:r>
    </w:p>
    <w:p w14:paraId="7566E904" w14:textId="70292F12" w:rsidR="00A34043" w:rsidRPr="007C6BFE" w:rsidRDefault="00A34043" w:rsidP="00A34043">
      <w:pPr>
        <w:overflowPunct/>
        <w:autoSpaceDE/>
        <w:autoSpaceDN/>
        <w:adjustRightInd/>
        <w:jc w:val="both"/>
        <w:textAlignment w:val="auto"/>
        <w:rPr>
          <w:sz w:val="24"/>
        </w:rPr>
      </w:pPr>
      <w:r w:rsidRPr="007C6BFE">
        <w:rPr>
          <w:bCs/>
          <w:sz w:val="24"/>
        </w:rPr>
        <w:tab/>
        <w:t>Employers that have applied for a PPP loan can continue to defer the payment of its payroll taxes until that point when they receive a decision from their lender that its PPP loan is forgiven.  At that point, the employer is no longer able to defer additional payroll taxes</w:t>
      </w:r>
      <w:r w:rsidR="00EF0832" w:rsidRPr="007C6BFE">
        <w:rPr>
          <w:bCs/>
          <w:sz w:val="24"/>
        </w:rPr>
        <w:t xml:space="preserve">.  However, </w:t>
      </w:r>
      <w:r w:rsidRPr="007C6BFE">
        <w:rPr>
          <w:bCs/>
          <w:sz w:val="24"/>
        </w:rPr>
        <w:t xml:space="preserve">the payroll taxes that were deferred until that time continue to be deferred and </w:t>
      </w:r>
      <w:r w:rsidR="00EF0832" w:rsidRPr="007C6BFE">
        <w:rPr>
          <w:bCs/>
          <w:sz w:val="24"/>
        </w:rPr>
        <w:t>are</w:t>
      </w:r>
      <w:r w:rsidRPr="007C6BFE">
        <w:rPr>
          <w:bCs/>
          <w:sz w:val="24"/>
        </w:rPr>
        <w:t xml:space="preserve"> due on the applicable dates </w:t>
      </w:r>
      <w:r w:rsidRPr="007C6BFE">
        <w:rPr>
          <w:bCs/>
          <w:sz w:val="24"/>
        </w:rPr>
        <w:lastRenderedPageBreak/>
        <w:t>described above.  If the application for a PPP loan is denied, the employer can continue to defer any obligation for employment taxes under the rules above.</w:t>
      </w:r>
    </w:p>
    <w:p w14:paraId="37190706" w14:textId="77777777" w:rsidR="00793142" w:rsidRPr="007C6BFE" w:rsidRDefault="00793142" w:rsidP="0047475C">
      <w:pPr>
        <w:overflowPunct/>
        <w:autoSpaceDE/>
        <w:autoSpaceDN/>
        <w:adjustRightInd/>
        <w:jc w:val="both"/>
        <w:textAlignment w:val="auto"/>
        <w:rPr>
          <w:sz w:val="24"/>
        </w:rPr>
      </w:pPr>
    </w:p>
    <w:p w14:paraId="259AB4C3" w14:textId="77777777" w:rsidR="00BE209E" w:rsidRPr="00A12C5E" w:rsidRDefault="00991D4F" w:rsidP="00991D4F">
      <w:pPr>
        <w:overflowPunct/>
        <w:textAlignment w:val="auto"/>
        <w:rPr>
          <w:b/>
          <w:bCs/>
          <w:sz w:val="24"/>
          <w:szCs w:val="24"/>
        </w:rPr>
      </w:pPr>
      <w:r w:rsidRPr="00A12C5E">
        <w:rPr>
          <w:b/>
          <w:bCs/>
          <w:sz w:val="24"/>
          <w:szCs w:val="24"/>
        </w:rPr>
        <w:t xml:space="preserve">Leasehold Improvements Qualify for Bonus Depreciation.  </w:t>
      </w:r>
    </w:p>
    <w:p w14:paraId="40854DBF" w14:textId="77777777" w:rsidR="00BE209E" w:rsidRPr="00A12C5E" w:rsidRDefault="00BE209E" w:rsidP="00991D4F">
      <w:pPr>
        <w:overflowPunct/>
        <w:textAlignment w:val="auto"/>
        <w:rPr>
          <w:b/>
          <w:bCs/>
          <w:sz w:val="24"/>
          <w:szCs w:val="24"/>
        </w:rPr>
      </w:pPr>
    </w:p>
    <w:p w14:paraId="2A63397C" w14:textId="3B157063" w:rsidR="00991D4F" w:rsidRPr="00A12C5E" w:rsidRDefault="00991D4F" w:rsidP="00991D4F">
      <w:pPr>
        <w:overflowPunct/>
        <w:textAlignment w:val="auto"/>
        <w:rPr>
          <w:sz w:val="24"/>
          <w:szCs w:val="24"/>
        </w:rPr>
      </w:pPr>
      <w:r w:rsidRPr="00A12C5E">
        <w:rPr>
          <w:sz w:val="24"/>
          <w:szCs w:val="24"/>
        </w:rPr>
        <w:t xml:space="preserve">The CARES Act includes a technical correction to the TCJA that allows the interior improvements of buildings (qualified improvement property or QIP as defined in § 168(e)(6)) to qualify for 100% bonus depreciation. The QIP amendments made by §2307 of the Act are </w:t>
      </w:r>
      <w:r w:rsidRPr="00A12C5E">
        <w:rPr>
          <w:sz w:val="24"/>
          <w:szCs w:val="24"/>
          <w:u w:val="single"/>
        </w:rPr>
        <w:t>retroactively</w:t>
      </w:r>
      <w:r w:rsidRPr="00A12C5E">
        <w:rPr>
          <w:sz w:val="24"/>
          <w:szCs w:val="24"/>
        </w:rPr>
        <w:t xml:space="preserve"> effective for property placed in service after Dec. 31, 2017. In other words, it is as if this QIP provision had been included in the original version of the TCJA.</w:t>
      </w:r>
    </w:p>
    <w:p w14:paraId="3BA101DE" w14:textId="1E6BA864" w:rsidR="00991D4F" w:rsidRPr="00A12C5E" w:rsidRDefault="00991D4F" w:rsidP="00991D4F">
      <w:pPr>
        <w:overflowPunct/>
        <w:textAlignment w:val="auto"/>
        <w:rPr>
          <w:sz w:val="24"/>
          <w:szCs w:val="24"/>
        </w:rPr>
      </w:pPr>
      <w:r w:rsidRPr="00A12C5E">
        <w:rPr>
          <w:sz w:val="24"/>
          <w:szCs w:val="24"/>
        </w:rPr>
        <w:tab/>
        <w:t>Technically, the CARES Act provides a correction to the TCJA, and specifically designates QIP as MACRS 15-year property, making it now eligible for bonus depreciation purposes (§ 168(e)(3)(E)(vii)).  Also, QIP is assigned a 20-year class life for the Alternative Depreciation System (§ 168(g)(3)(B)).  This designation for ADS purposes has implications</w:t>
      </w:r>
      <w:r w:rsidRPr="00A12C5E">
        <w:rPr>
          <w:sz w:val="24"/>
        </w:rPr>
        <w:t xml:space="preserve"> </w:t>
      </w:r>
      <w:r w:rsidRPr="00A12C5E">
        <w:rPr>
          <w:sz w:val="24"/>
          <w:szCs w:val="24"/>
        </w:rPr>
        <w:t>where the taxpayer has made a “real estate trade or business election” to avoid the interest expense limitation under § 163(j).  If the taxpayer makes such election, then the real estate involved (i.e., 27.5-year residential or 39-year commercial) as well as the QIP would have to be depreciated under the ADS.</w:t>
      </w:r>
    </w:p>
    <w:p w14:paraId="2AD187DA" w14:textId="77777777" w:rsidR="00991D4F" w:rsidRPr="00A12C5E" w:rsidRDefault="00991D4F" w:rsidP="00991D4F">
      <w:pPr>
        <w:overflowPunct/>
        <w:textAlignment w:val="auto"/>
        <w:rPr>
          <w:sz w:val="24"/>
          <w:szCs w:val="24"/>
        </w:rPr>
      </w:pPr>
    </w:p>
    <w:p w14:paraId="435586BE" w14:textId="77777777" w:rsidR="00991D4F" w:rsidRPr="00A12C5E" w:rsidRDefault="00991D4F" w:rsidP="00991D4F">
      <w:pPr>
        <w:overflowPunct/>
        <w:textAlignment w:val="auto"/>
        <w:rPr>
          <w:sz w:val="24"/>
          <w:szCs w:val="24"/>
        </w:rPr>
      </w:pPr>
      <w:r w:rsidRPr="00A12C5E">
        <w:rPr>
          <w:b/>
          <w:bCs/>
          <w:sz w:val="24"/>
          <w:szCs w:val="24"/>
        </w:rPr>
        <w:t xml:space="preserve">Example 10. </w:t>
      </w:r>
      <w:r w:rsidRPr="00A12C5E">
        <w:rPr>
          <w:sz w:val="24"/>
          <w:szCs w:val="24"/>
        </w:rPr>
        <w:t xml:space="preserve"> JKB LLC, a partnership, purchased a warehouse in 1995 that now stands idle. They (or, their tenants) then proceed to do substantial improvements (i.e., QIP) to the interior of the building as the various units are rented out. These QIP assets would be classified as MACRS 15-year property and would, therefore, be eligible for bonus depreciation.</w:t>
      </w:r>
    </w:p>
    <w:p w14:paraId="431F0AFA" w14:textId="77777777" w:rsidR="00991D4F" w:rsidRPr="00A12C5E" w:rsidRDefault="00991D4F" w:rsidP="00991D4F">
      <w:pPr>
        <w:overflowPunct/>
        <w:textAlignment w:val="auto"/>
        <w:rPr>
          <w:sz w:val="24"/>
          <w:szCs w:val="24"/>
        </w:rPr>
      </w:pPr>
    </w:p>
    <w:p w14:paraId="18F4FE80" w14:textId="77777777" w:rsidR="00991D4F" w:rsidRPr="00A12C5E" w:rsidRDefault="00991D4F" w:rsidP="00991D4F">
      <w:pPr>
        <w:overflowPunct/>
        <w:textAlignment w:val="auto"/>
        <w:rPr>
          <w:sz w:val="24"/>
          <w:szCs w:val="24"/>
        </w:rPr>
      </w:pPr>
      <w:r w:rsidRPr="00A12C5E">
        <w:rPr>
          <w:sz w:val="24"/>
          <w:szCs w:val="24"/>
        </w:rPr>
        <w:t xml:space="preserve">While this new rule is a significant development, it should be noted that QIP generally is eligible for immediate expensing under § 179 ($2,590,000 in 2020), assuming the activity qualified as a trade or business.  </w:t>
      </w:r>
    </w:p>
    <w:p w14:paraId="483F2D6D" w14:textId="77777777" w:rsidR="00187174" w:rsidRPr="00A12C5E" w:rsidRDefault="00F46897" w:rsidP="00187174">
      <w:pPr>
        <w:overflowPunct/>
        <w:textAlignment w:val="auto"/>
        <w:rPr>
          <w:sz w:val="24"/>
          <w:szCs w:val="24"/>
        </w:rPr>
      </w:pPr>
      <w:r w:rsidRPr="00A12C5E">
        <w:rPr>
          <w:sz w:val="24"/>
          <w:szCs w:val="24"/>
        </w:rPr>
        <w:tab/>
      </w:r>
      <w:r w:rsidR="00991D4F" w:rsidRPr="00A12C5E">
        <w:rPr>
          <w:sz w:val="24"/>
          <w:szCs w:val="24"/>
        </w:rPr>
        <w:t>Note that § 179 immediate expensing, as well as bonus depreciation, for QIP requires that the commercial building to which these improvements relate must have previously been placed in service before these improvements are made. As a result, a new commercial building in which the improvements are made before receiving, for example, a certificate of occupancy would not be eligible to be classified as 15- year MACRS “qualified improvement property.”</w:t>
      </w:r>
    </w:p>
    <w:p w14:paraId="33C230A6" w14:textId="77777777" w:rsidR="00187174" w:rsidRPr="00371EE1" w:rsidRDefault="00187174" w:rsidP="00187174">
      <w:pPr>
        <w:overflowPunct/>
        <w:textAlignment w:val="auto"/>
        <w:rPr>
          <w:sz w:val="24"/>
          <w:szCs w:val="24"/>
          <w:highlight w:val="yellow"/>
        </w:rPr>
      </w:pPr>
    </w:p>
    <w:p w14:paraId="5BD87708" w14:textId="07E7837C" w:rsidR="008A0BC2" w:rsidRPr="00A46DA4" w:rsidRDefault="008A0BC2" w:rsidP="00187174">
      <w:pPr>
        <w:overflowPunct/>
        <w:textAlignment w:val="auto"/>
        <w:rPr>
          <w:b/>
          <w:sz w:val="24"/>
        </w:rPr>
      </w:pPr>
      <w:r w:rsidRPr="00A46DA4">
        <w:rPr>
          <w:b/>
          <w:sz w:val="24"/>
        </w:rPr>
        <w:t>Page 1-17</w:t>
      </w:r>
    </w:p>
    <w:p w14:paraId="1A5B6831" w14:textId="1F382576" w:rsidR="008A0BC2" w:rsidRPr="00A46DA4" w:rsidRDefault="008A0BC2" w:rsidP="008A0BC2">
      <w:pPr>
        <w:tabs>
          <w:tab w:val="left" w:pos="2662"/>
        </w:tabs>
        <w:overflowPunct/>
        <w:autoSpaceDE/>
        <w:autoSpaceDN/>
        <w:adjustRightInd/>
        <w:jc w:val="both"/>
        <w:textAlignment w:val="auto"/>
        <w:rPr>
          <w:b/>
          <w:sz w:val="24"/>
        </w:rPr>
      </w:pPr>
      <w:r w:rsidRPr="00A46DA4">
        <w:rPr>
          <w:b/>
          <w:sz w:val="24"/>
        </w:rPr>
        <w:tab/>
      </w:r>
    </w:p>
    <w:p w14:paraId="550472AD" w14:textId="1DBD6066" w:rsidR="00BE209E" w:rsidRPr="00A46DA4" w:rsidRDefault="004B4083" w:rsidP="008C3087">
      <w:pPr>
        <w:overflowPunct/>
        <w:textAlignment w:val="auto"/>
        <w:rPr>
          <w:b/>
          <w:bCs/>
          <w:sz w:val="24"/>
          <w:szCs w:val="24"/>
        </w:rPr>
      </w:pPr>
      <w:r w:rsidRPr="00A46DA4">
        <w:rPr>
          <w:b/>
          <w:bCs/>
          <w:sz w:val="24"/>
        </w:rPr>
        <w:t>Limitation on Deduction of Interest of Businesses</w:t>
      </w:r>
      <w:r w:rsidR="008C3087" w:rsidRPr="00A46DA4">
        <w:rPr>
          <w:b/>
          <w:bCs/>
          <w:sz w:val="24"/>
          <w:szCs w:val="24"/>
        </w:rPr>
        <w:t xml:space="preserve"> </w:t>
      </w:r>
    </w:p>
    <w:p w14:paraId="4F9389C2" w14:textId="77777777" w:rsidR="00BE209E" w:rsidRPr="00A46DA4" w:rsidRDefault="00BE209E" w:rsidP="008C3087">
      <w:pPr>
        <w:overflowPunct/>
        <w:textAlignment w:val="auto"/>
        <w:rPr>
          <w:b/>
          <w:bCs/>
          <w:sz w:val="24"/>
          <w:szCs w:val="24"/>
        </w:rPr>
      </w:pPr>
    </w:p>
    <w:p w14:paraId="0CA85CA9" w14:textId="0E2E6C30" w:rsidR="008C3087" w:rsidRPr="00A46DA4" w:rsidRDefault="00A46DA4" w:rsidP="008C3087">
      <w:pPr>
        <w:overflowPunct/>
        <w:textAlignment w:val="auto"/>
        <w:rPr>
          <w:sz w:val="24"/>
        </w:rPr>
      </w:pPr>
      <w:r>
        <w:rPr>
          <w:sz w:val="24"/>
        </w:rPr>
        <w:t>As noted in the text, the</w:t>
      </w:r>
      <w:r w:rsidR="008C3087" w:rsidRPr="00A46DA4">
        <w:rPr>
          <w:sz w:val="24"/>
        </w:rPr>
        <w:t xml:space="preserve"> TCJA limited the deduction of business interest to 30% of adjusted taxable income or ATI (§ 163(j)(10)). The total cap is the sum of (1) the taxpayer’s business interest income (if any); (2) 30% of the taxpayer’s adjusted taxable income; and (3) the taxpayer’s floor plan financing interest expense for the taxable year.  </w:t>
      </w:r>
      <w:r w:rsidR="00E91923" w:rsidRPr="00A46DA4">
        <w:rPr>
          <w:sz w:val="24"/>
        </w:rPr>
        <w:t>The</w:t>
      </w:r>
      <w:r w:rsidR="008C3087" w:rsidRPr="00A46DA4">
        <w:rPr>
          <w:sz w:val="24"/>
        </w:rPr>
        <w:t xml:space="preserve"> disallowed interest can be carried over indefinitely.</w:t>
      </w:r>
    </w:p>
    <w:p w14:paraId="5B4A0538" w14:textId="77777777" w:rsidR="008C46C9" w:rsidRPr="00A46DA4" w:rsidRDefault="008C46C9" w:rsidP="008C3087">
      <w:pPr>
        <w:overflowPunct/>
        <w:textAlignment w:val="auto"/>
        <w:rPr>
          <w:sz w:val="24"/>
        </w:rPr>
      </w:pPr>
    </w:p>
    <w:p w14:paraId="7BC274E8" w14:textId="6E2F29B7" w:rsidR="008C3087" w:rsidRPr="00A46DA4" w:rsidRDefault="008C3087" w:rsidP="008C3087">
      <w:pPr>
        <w:overflowPunct/>
        <w:textAlignment w:val="auto"/>
        <w:rPr>
          <w:sz w:val="24"/>
        </w:rPr>
      </w:pPr>
      <w:r w:rsidRPr="00A46DA4">
        <w:rPr>
          <w:sz w:val="24"/>
        </w:rPr>
        <w:t>The CARES Act temporarily modifie</w:t>
      </w:r>
      <w:r w:rsidR="00A46DA4" w:rsidRPr="00A46DA4">
        <w:rPr>
          <w:sz w:val="24"/>
        </w:rPr>
        <w:t>d</w:t>
      </w:r>
      <w:r w:rsidRPr="00A46DA4">
        <w:rPr>
          <w:sz w:val="24"/>
        </w:rPr>
        <w:t xml:space="preserve"> this provision for tax years that begin in 2019 or 2020</w:t>
      </w:r>
      <w:r w:rsidR="00A46DA4" w:rsidRPr="00A46DA4">
        <w:rPr>
          <w:sz w:val="24"/>
        </w:rPr>
        <w:t>.</w:t>
      </w:r>
      <w:r w:rsidRPr="00A46DA4">
        <w:rPr>
          <w:sz w:val="24"/>
        </w:rPr>
        <w:t xml:space="preserve"> The Act increases the ATI limitation, from 30% to 50%. In addition, the Act allows corporations to elect to use their 2019 ATI as their ATI in 2020 for purposes of this increased 50% threshold.  This ensures that even though their earnings may be harmed by the COVID-19 outbreak, their otherwise increased business interest deduction will not be.</w:t>
      </w:r>
    </w:p>
    <w:p w14:paraId="6E0BE0FD" w14:textId="77777777" w:rsidR="008C3087" w:rsidRPr="00A46DA4" w:rsidRDefault="008C3087" w:rsidP="008C3087">
      <w:pPr>
        <w:overflowPunct/>
        <w:textAlignment w:val="auto"/>
        <w:rPr>
          <w:color w:val="000000"/>
          <w:sz w:val="24"/>
          <w:szCs w:val="24"/>
        </w:rPr>
      </w:pPr>
    </w:p>
    <w:p w14:paraId="58C33BBA" w14:textId="7F843A2D" w:rsidR="008C3087" w:rsidRPr="00A46DA4" w:rsidRDefault="008C3087" w:rsidP="008C3087">
      <w:pPr>
        <w:overflowPunct/>
        <w:textAlignment w:val="auto"/>
        <w:rPr>
          <w:color w:val="000000"/>
          <w:sz w:val="24"/>
          <w:szCs w:val="24"/>
        </w:rPr>
      </w:pPr>
      <w:r w:rsidRPr="00A46DA4">
        <w:rPr>
          <w:b/>
          <w:bCs/>
          <w:color w:val="000000"/>
          <w:sz w:val="24"/>
          <w:szCs w:val="24"/>
        </w:rPr>
        <w:t xml:space="preserve">Example </w:t>
      </w:r>
      <w:r w:rsidR="004D22F0" w:rsidRPr="00A46DA4">
        <w:rPr>
          <w:b/>
          <w:bCs/>
          <w:color w:val="000000"/>
          <w:sz w:val="24"/>
          <w:szCs w:val="24"/>
        </w:rPr>
        <w:t>11</w:t>
      </w:r>
      <w:r w:rsidRPr="00A46DA4">
        <w:rPr>
          <w:b/>
          <w:bCs/>
          <w:color w:val="000000"/>
          <w:sz w:val="24"/>
          <w:szCs w:val="24"/>
        </w:rPr>
        <w:t>.</w:t>
      </w:r>
      <w:r w:rsidRPr="00A46DA4">
        <w:rPr>
          <w:color w:val="000000"/>
          <w:sz w:val="24"/>
          <w:szCs w:val="24"/>
        </w:rPr>
        <w:t xml:space="preserve"> CDB Inc. had </w:t>
      </w:r>
      <w:r w:rsidR="00E91923" w:rsidRPr="00A46DA4">
        <w:rPr>
          <w:color w:val="000000"/>
          <w:sz w:val="24"/>
          <w:szCs w:val="24"/>
        </w:rPr>
        <w:t>adjusted taxable income (ATI)</w:t>
      </w:r>
      <w:r w:rsidRPr="00A46DA4">
        <w:rPr>
          <w:color w:val="000000"/>
          <w:sz w:val="24"/>
          <w:szCs w:val="24"/>
        </w:rPr>
        <w:t xml:space="preserve"> of $5 million in 2019 but a negative ATI in 2020. As a result, it normally would have no deduction for its business interest in 2020 since ATI was negative (50% x ATI $0 = $0).  However, under the </w:t>
      </w:r>
      <w:r w:rsidRPr="00A46DA4">
        <w:rPr>
          <w:sz w:val="24"/>
        </w:rPr>
        <w:t xml:space="preserve">CARES </w:t>
      </w:r>
      <w:r w:rsidRPr="00A46DA4">
        <w:rPr>
          <w:color w:val="000000"/>
          <w:sz w:val="24"/>
          <w:szCs w:val="24"/>
        </w:rPr>
        <w:t xml:space="preserve">Act, the business could elect to use its 2019 ATI </w:t>
      </w:r>
      <w:r w:rsidR="00E91923" w:rsidRPr="00A46DA4">
        <w:rPr>
          <w:color w:val="000000"/>
          <w:sz w:val="24"/>
          <w:szCs w:val="24"/>
        </w:rPr>
        <w:t xml:space="preserve">of $5,000,000 </w:t>
      </w:r>
      <w:r w:rsidRPr="00A46DA4">
        <w:rPr>
          <w:color w:val="000000"/>
          <w:sz w:val="24"/>
          <w:szCs w:val="24"/>
        </w:rPr>
        <w:t xml:space="preserve">for 2020.  In such case, it could deduct $2.5 million of interest expense in 2020 (50% x $5 million ATI from 2019 instead of 2020).  This may in turn generate a larger loss, and the company could use the favorable new NOL provisions to carry back the loss to 2019 and receive a refund on some or </w:t>
      </w:r>
      <w:proofErr w:type="gramStart"/>
      <w:r w:rsidRPr="00A46DA4">
        <w:rPr>
          <w:color w:val="000000"/>
          <w:sz w:val="24"/>
          <w:szCs w:val="24"/>
        </w:rPr>
        <w:t>all of</w:t>
      </w:r>
      <w:proofErr w:type="gramEnd"/>
      <w:r w:rsidRPr="00A46DA4">
        <w:rPr>
          <w:color w:val="000000"/>
          <w:sz w:val="24"/>
          <w:szCs w:val="24"/>
        </w:rPr>
        <w:t xml:space="preserve"> the taxes otherwise paid.</w:t>
      </w:r>
    </w:p>
    <w:p w14:paraId="5EB35956" w14:textId="77777777" w:rsidR="008C3087" w:rsidRPr="00371EE1" w:rsidRDefault="008C3087" w:rsidP="008A0BC2">
      <w:pPr>
        <w:tabs>
          <w:tab w:val="left" w:pos="2662"/>
        </w:tabs>
        <w:overflowPunct/>
        <w:autoSpaceDE/>
        <w:autoSpaceDN/>
        <w:adjustRightInd/>
        <w:jc w:val="both"/>
        <w:textAlignment w:val="auto"/>
        <w:rPr>
          <w:b/>
          <w:sz w:val="24"/>
          <w:highlight w:val="yellow"/>
        </w:rPr>
      </w:pPr>
    </w:p>
    <w:p w14:paraId="084F36E9" w14:textId="23AA3950" w:rsidR="00991D4F" w:rsidRPr="00544DA5" w:rsidRDefault="00991D4F" w:rsidP="00991D4F">
      <w:pPr>
        <w:rPr>
          <w:b/>
          <w:sz w:val="24"/>
        </w:rPr>
      </w:pPr>
      <w:r w:rsidRPr="00544DA5">
        <w:rPr>
          <w:b/>
          <w:sz w:val="24"/>
        </w:rPr>
        <w:t>Page 1-</w:t>
      </w:r>
      <w:r w:rsidR="00A46DA4">
        <w:rPr>
          <w:b/>
          <w:sz w:val="24"/>
        </w:rPr>
        <w:t>18</w:t>
      </w:r>
    </w:p>
    <w:p w14:paraId="61FA3CF1" w14:textId="77777777" w:rsidR="00991D4F" w:rsidRPr="00544DA5" w:rsidRDefault="00991D4F" w:rsidP="00991D4F">
      <w:pPr>
        <w:rPr>
          <w:b/>
          <w:sz w:val="24"/>
        </w:rPr>
      </w:pPr>
    </w:p>
    <w:p w14:paraId="5CF0A117" w14:textId="77777777" w:rsidR="006116BE" w:rsidRPr="00544DA5" w:rsidRDefault="006116BE" w:rsidP="00991D4F">
      <w:pPr>
        <w:overflowPunct/>
        <w:autoSpaceDE/>
        <w:autoSpaceDN/>
        <w:adjustRightInd/>
        <w:jc w:val="both"/>
        <w:textAlignment w:val="auto"/>
        <w:rPr>
          <w:b/>
          <w:bCs/>
          <w:sz w:val="24"/>
          <w:szCs w:val="24"/>
        </w:rPr>
      </w:pPr>
      <w:r w:rsidRPr="00544DA5">
        <w:rPr>
          <w:b/>
          <w:bCs/>
          <w:sz w:val="24"/>
          <w:szCs w:val="24"/>
        </w:rPr>
        <w:t>Net Operating Loss</w:t>
      </w:r>
    </w:p>
    <w:p w14:paraId="1A1354D7" w14:textId="77777777" w:rsidR="006116BE" w:rsidRPr="00371EE1" w:rsidRDefault="006116BE" w:rsidP="00991D4F">
      <w:pPr>
        <w:overflowPunct/>
        <w:autoSpaceDE/>
        <w:autoSpaceDN/>
        <w:adjustRightInd/>
        <w:jc w:val="both"/>
        <w:textAlignment w:val="auto"/>
        <w:rPr>
          <w:b/>
          <w:bCs/>
          <w:sz w:val="24"/>
          <w:szCs w:val="24"/>
          <w:highlight w:val="yellow"/>
        </w:rPr>
      </w:pPr>
    </w:p>
    <w:p w14:paraId="061190FC" w14:textId="05C8377E" w:rsidR="00991D4F" w:rsidRPr="00544DA5" w:rsidRDefault="00991D4F" w:rsidP="00991D4F">
      <w:pPr>
        <w:overflowPunct/>
        <w:autoSpaceDE/>
        <w:autoSpaceDN/>
        <w:adjustRightInd/>
        <w:jc w:val="both"/>
        <w:textAlignment w:val="auto"/>
        <w:rPr>
          <w:sz w:val="24"/>
          <w:szCs w:val="24"/>
        </w:rPr>
      </w:pPr>
      <w:r w:rsidRPr="00544DA5">
        <w:rPr>
          <w:b/>
          <w:bCs/>
          <w:sz w:val="24"/>
          <w:szCs w:val="24"/>
        </w:rPr>
        <w:t xml:space="preserve">NOL Deduction: Carryback for 5 Years and No 80% Limitation.  </w:t>
      </w:r>
      <w:r w:rsidRPr="00544DA5">
        <w:rPr>
          <w:sz w:val="24"/>
          <w:szCs w:val="24"/>
        </w:rPr>
        <w:t xml:space="preserve">The CARES Act addresses several changes made by the TCJA concerning the use of NOLs.  </w:t>
      </w:r>
    </w:p>
    <w:p w14:paraId="6AF3D602" w14:textId="77777777" w:rsidR="00991D4F" w:rsidRPr="00544DA5" w:rsidRDefault="00991D4F" w:rsidP="00991D4F">
      <w:pPr>
        <w:overflowPunct/>
        <w:autoSpaceDE/>
        <w:autoSpaceDN/>
        <w:adjustRightInd/>
        <w:jc w:val="both"/>
        <w:textAlignment w:val="auto"/>
        <w:rPr>
          <w:sz w:val="24"/>
          <w:szCs w:val="24"/>
        </w:rPr>
      </w:pPr>
    </w:p>
    <w:p w14:paraId="2765E8FD" w14:textId="05141F47" w:rsidR="00991D4F" w:rsidRPr="00544DA5" w:rsidRDefault="00991D4F" w:rsidP="00991D4F">
      <w:pPr>
        <w:overflowPunct/>
        <w:autoSpaceDE/>
        <w:autoSpaceDN/>
        <w:adjustRightInd/>
        <w:jc w:val="both"/>
        <w:textAlignment w:val="auto"/>
        <w:rPr>
          <w:sz w:val="24"/>
          <w:szCs w:val="24"/>
        </w:rPr>
      </w:pPr>
      <w:r w:rsidRPr="00544DA5">
        <w:rPr>
          <w:sz w:val="24"/>
          <w:szCs w:val="24"/>
        </w:rPr>
        <w:t>Under the TCJA, beginning in 2018</w:t>
      </w:r>
      <w:r w:rsidR="00A46DA4">
        <w:rPr>
          <w:sz w:val="24"/>
          <w:szCs w:val="24"/>
        </w:rPr>
        <w:t xml:space="preserve"> (i.e., NOLs arising after 2017)</w:t>
      </w:r>
      <w:r w:rsidRPr="00544DA5">
        <w:rPr>
          <w:sz w:val="24"/>
          <w:szCs w:val="24"/>
        </w:rPr>
        <w:t>:</w:t>
      </w:r>
    </w:p>
    <w:p w14:paraId="0BA7F8DF" w14:textId="77777777" w:rsidR="00991D4F" w:rsidRPr="00544DA5" w:rsidRDefault="00991D4F" w:rsidP="00991D4F">
      <w:pPr>
        <w:numPr>
          <w:ilvl w:val="0"/>
          <w:numId w:val="3"/>
        </w:numPr>
        <w:overflowPunct/>
        <w:autoSpaceDE/>
        <w:autoSpaceDN/>
        <w:adjustRightInd/>
        <w:ind w:left="450"/>
        <w:contextualSpacing/>
        <w:jc w:val="both"/>
        <w:textAlignment w:val="auto"/>
        <w:rPr>
          <w:sz w:val="24"/>
          <w:szCs w:val="24"/>
        </w:rPr>
      </w:pPr>
      <w:r w:rsidRPr="00544DA5">
        <w:rPr>
          <w:sz w:val="24"/>
          <w:szCs w:val="24"/>
        </w:rPr>
        <w:t>The 2-year carryback period (except for farming businesses) was eliminated. Therefore, NOLs occurring in 2018 and beyond could only be carried forward.</w:t>
      </w:r>
    </w:p>
    <w:p w14:paraId="46033703" w14:textId="77777777" w:rsidR="00991D4F" w:rsidRPr="00544DA5" w:rsidRDefault="00991D4F" w:rsidP="00991D4F">
      <w:pPr>
        <w:numPr>
          <w:ilvl w:val="0"/>
          <w:numId w:val="3"/>
        </w:numPr>
        <w:overflowPunct/>
        <w:autoSpaceDE/>
        <w:autoSpaceDN/>
        <w:adjustRightInd/>
        <w:ind w:left="450"/>
        <w:contextualSpacing/>
        <w:jc w:val="both"/>
        <w:textAlignment w:val="auto"/>
        <w:rPr>
          <w:sz w:val="24"/>
          <w:szCs w:val="24"/>
        </w:rPr>
      </w:pPr>
      <w:r w:rsidRPr="00544DA5">
        <w:rPr>
          <w:sz w:val="24"/>
          <w:szCs w:val="24"/>
        </w:rPr>
        <w:t xml:space="preserve">NOLs occurring in 2018 and beyond were carried forward indefinitely.  The 20-year carryover period was eliminated.  </w:t>
      </w:r>
    </w:p>
    <w:p w14:paraId="04624A2E" w14:textId="77777777" w:rsidR="00991D4F" w:rsidRPr="00544DA5" w:rsidRDefault="00991D4F" w:rsidP="00991D4F">
      <w:pPr>
        <w:numPr>
          <w:ilvl w:val="0"/>
          <w:numId w:val="3"/>
        </w:numPr>
        <w:overflowPunct/>
        <w:autoSpaceDE/>
        <w:autoSpaceDN/>
        <w:adjustRightInd/>
        <w:ind w:left="450"/>
        <w:contextualSpacing/>
        <w:jc w:val="both"/>
        <w:textAlignment w:val="auto"/>
        <w:rPr>
          <w:sz w:val="24"/>
          <w:szCs w:val="24"/>
        </w:rPr>
      </w:pPr>
      <w:r w:rsidRPr="00544DA5">
        <w:rPr>
          <w:sz w:val="24"/>
          <w:szCs w:val="24"/>
        </w:rPr>
        <w:t>The NOL deduction for NOLs occurring in 2018 and beyond was limited to 80% of taxable income.  However, NOL carryovers existing prior to 2018 were not subject to the 80% limit.</w:t>
      </w:r>
    </w:p>
    <w:p w14:paraId="49C48341" w14:textId="77777777" w:rsidR="00991D4F" w:rsidRPr="00173E40" w:rsidRDefault="00991D4F" w:rsidP="00991D4F">
      <w:pPr>
        <w:overflowPunct/>
        <w:autoSpaceDE/>
        <w:autoSpaceDN/>
        <w:adjustRightInd/>
        <w:jc w:val="both"/>
        <w:textAlignment w:val="auto"/>
        <w:rPr>
          <w:color w:val="3333FF"/>
          <w:sz w:val="28"/>
          <w:szCs w:val="22"/>
          <w:highlight w:val="yellow"/>
        </w:rPr>
      </w:pPr>
    </w:p>
    <w:p w14:paraId="09DEA766" w14:textId="59F2AEE6" w:rsidR="00544DA5" w:rsidRPr="00173E40" w:rsidRDefault="00544DA5" w:rsidP="00544DA5">
      <w:pPr>
        <w:rPr>
          <w:sz w:val="24"/>
          <w:szCs w:val="28"/>
        </w:rPr>
      </w:pPr>
      <w:r w:rsidRPr="00173E40">
        <w:rPr>
          <w:sz w:val="24"/>
          <w:szCs w:val="28"/>
        </w:rPr>
        <w:t xml:space="preserve">The CARES Act </w:t>
      </w:r>
      <w:r w:rsidR="00173E40">
        <w:rPr>
          <w:sz w:val="24"/>
          <w:szCs w:val="28"/>
        </w:rPr>
        <w:t>revises</w:t>
      </w:r>
      <w:r w:rsidRPr="00173E40">
        <w:rPr>
          <w:sz w:val="24"/>
          <w:szCs w:val="28"/>
        </w:rPr>
        <w:t xml:space="preserve"> the TCJA rule</w:t>
      </w:r>
      <w:r w:rsidR="00173E40">
        <w:rPr>
          <w:sz w:val="24"/>
          <w:szCs w:val="28"/>
        </w:rPr>
        <w:t xml:space="preserve"> (footnote 55)</w:t>
      </w:r>
      <w:r w:rsidRPr="00173E40">
        <w:rPr>
          <w:sz w:val="24"/>
          <w:szCs w:val="28"/>
        </w:rPr>
        <w:t xml:space="preserve">.  As noted above, </w:t>
      </w:r>
      <w:r w:rsidR="00173E40">
        <w:rPr>
          <w:sz w:val="24"/>
          <w:szCs w:val="28"/>
        </w:rPr>
        <w:t>under the</w:t>
      </w:r>
      <w:r w:rsidRPr="00173E40">
        <w:rPr>
          <w:sz w:val="24"/>
          <w:szCs w:val="28"/>
        </w:rPr>
        <w:t xml:space="preserve"> TCJA, § 172(b)(1)</w:t>
      </w:r>
      <w:r w:rsidRPr="00173E40">
        <w:rPr>
          <w:b/>
          <w:bCs/>
          <w:sz w:val="24"/>
          <w:szCs w:val="28"/>
        </w:rPr>
        <w:t xml:space="preserve"> </w:t>
      </w:r>
      <w:r w:rsidRPr="00173E40">
        <w:rPr>
          <w:sz w:val="24"/>
          <w:szCs w:val="28"/>
        </w:rPr>
        <w:t>generally</w:t>
      </w:r>
      <w:r w:rsidRPr="00173E40">
        <w:rPr>
          <w:b/>
          <w:bCs/>
          <w:sz w:val="24"/>
          <w:szCs w:val="28"/>
        </w:rPr>
        <w:t xml:space="preserve"> </w:t>
      </w:r>
      <w:r w:rsidR="00173E40">
        <w:rPr>
          <w:sz w:val="24"/>
          <w:szCs w:val="28"/>
        </w:rPr>
        <w:t>provides</w:t>
      </w:r>
      <w:r w:rsidRPr="00173E40">
        <w:rPr>
          <w:sz w:val="24"/>
          <w:szCs w:val="28"/>
        </w:rPr>
        <w:t xml:space="preserve"> that an NOL for any tax year must be carried </w:t>
      </w:r>
      <w:r w:rsidRPr="00173E40">
        <w:rPr>
          <w:i/>
          <w:iCs/>
          <w:sz w:val="24"/>
          <w:szCs w:val="28"/>
        </w:rPr>
        <w:t>forward</w:t>
      </w:r>
      <w:r w:rsidRPr="00173E40">
        <w:rPr>
          <w:sz w:val="24"/>
          <w:szCs w:val="28"/>
        </w:rPr>
        <w:t>.</w:t>
      </w:r>
      <w:r w:rsidRPr="00173E40">
        <w:rPr>
          <w:b/>
          <w:bCs/>
          <w:sz w:val="24"/>
          <w:szCs w:val="28"/>
        </w:rPr>
        <w:t xml:space="preserve">  </w:t>
      </w:r>
      <w:r w:rsidR="00173E40">
        <w:rPr>
          <w:sz w:val="24"/>
          <w:szCs w:val="28"/>
        </w:rPr>
        <w:t>However</w:t>
      </w:r>
      <w:r w:rsidRPr="00173E40">
        <w:rPr>
          <w:sz w:val="24"/>
          <w:szCs w:val="28"/>
        </w:rPr>
        <w:t>, the CARES Act</w:t>
      </w:r>
      <w:r w:rsidRPr="00173E40">
        <w:rPr>
          <w:b/>
          <w:bCs/>
          <w:sz w:val="24"/>
          <w:szCs w:val="28"/>
        </w:rPr>
        <w:t xml:space="preserve"> </w:t>
      </w:r>
      <w:r w:rsidRPr="00173E40">
        <w:rPr>
          <w:bCs/>
          <w:sz w:val="24"/>
          <w:szCs w:val="28"/>
        </w:rPr>
        <w:t xml:space="preserve">alters that approach and </w:t>
      </w:r>
      <w:r w:rsidRPr="00173E40">
        <w:rPr>
          <w:sz w:val="24"/>
          <w:szCs w:val="28"/>
        </w:rPr>
        <w:t xml:space="preserve">provides that NOLs arising in a tax year beginning </w:t>
      </w:r>
      <w:r w:rsidRPr="00173E40">
        <w:rPr>
          <w:i/>
          <w:iCs/>
          <w:sz w:val="24"/>
          <w:szCs w:val="28"/>
        </w:rPr>
        <w:t xml:space="preserve">after </w:t>
      </w:r>
      <w:r w:rsidRPr="00173E40">
        <w:rPr>
          <w:sz w:val="24"/>
          <w:szCs w:val="28"/>
        </w:rPr>
        <w:t xml:space="preserve">Dec. 31, </w:t>
      </w:r>
      <w:proofErr w:type="gramStart"/>
      <w:r w:rsidRPr="00173E40">
        <w:rPr>
          <w:sz w:val="24"/>
          <w:szCs w:val="28"/>
        </w:rPr>
        <w:t>2017</w:t>
      </w:r>
      <w:proofErr w:type="gramEnd"/>
      <w:r w:rsidRPr="00173E40">
        <w:rPr>
          <w:sz w:val="24"/>
          <w:szCs w:val="28"/>
        </w:rPr>
        <w:t xml:space="preserve"> and </w:t>
      </w:r>
      <w:r w:rsidRPr="00173E40">
        <w:rPr>
          <w:i/>
          <w:iCs/>
          <w:sz w:val="24"/>
          <w:szCs w:val="28"/>
        </w:rPr>
        <w:t xml:space="preserve">before </w:t>
      </w:r>
      <w:r w:rsidRPr="00173E40">
        <w:rPr>
          <w:sz w:val="24"/>
          <w:szCs w:val="28"/>
        </w:rPr>
        <w:t xml:space="preserve">Jan. 1, 2021 (i.e., losses for 2018, 2019 and 2020) can now be carried </w:t>
      </w:r>
      <w:r w:rsidRPr="00173E40">
        <w:rPr>
          <w:i/>
          <w:iCs/>
          <w:sz w:val="24"/>
          <w:szCs w:val="28"/>
        </w:rPr>
        <w:t xml:space="preserve">back </w:t>
      </w:r>
      <w:r w:rsidRPr="00173E40">
        <w:rPr>
          <w:sz w:val="24"/>
          <w:szCs w:val="28"/>
        </w:rPr>
        <w:t xml:space="preserve">to each of the </w:t>
      </w:r>
      <w:r w:rsidRPr="00173E40">
        <w:rPr>
          <w:i/>
          <w:iCs/>
          <w:sz w:val="24"/>
          <w:szCs w:val="28"/>
        </w:rPr>
        <w:t xml:space="preserve">five </w:t>
      </w:r>
      <w:r w:rsidRPr="00173E40">
        <w:rPr>
          <w:sz w:val="24"/>
          <w:szCs w:val="28"/>
        </w:rPr>
        <w:t>previous</w:t>
      </w:r>
      <w:r w:rsidRPr="00173E40">
        <w:rPr>
          <w:i/>
          <w:iCs/>
          <w:sz w:val="24"/>
          <w:szCs w:val="28"/>
        </w:rPr>
        <w:t xml:space="preserve"> </w:t>
      </w:r>
      <w:r w:rsidRPr="00173E40">
        <w:rPr>
          <w:sz w:val="24"/>
          <w:szCs w:val="28"/>
        </w:rPr>
        <w:t>tax years (e.g., a 2018 NOL could be carried back to 2013).  The hope of the legislation is that it might help businesses who have suffered due to the coronavirus pandemic.</w:t>
      </w:r>
    </w:p>
    <w:p w14:paraId="181DF2B7" w14:textId="77777777" w:rsidR="00544DA5" w:rsidRPr="00173E40" w:rsidRDefault="00544DA5" w:rsidP="00991D4F">
      <w:pPr>
        <w:overflowPunct/>
        <w:textAlignment w:val="auto"/>
        <w:rPr>
          <w:b/>
          <w:bCs/>
          <w:sz w:val="28"/>
          <w:szCs w:val="28"/>
          <w:highlight w:val="yellow"/>
        </w:rPr>
      </w:pPr>
    </w:p>
    <w:p w14:paraId="4B1B0712" w14:textId="4CB7C0C0" w:rsidR="00991D4F" w:rsidRPr="00544DA5" w:rsidRDefault="00991D4F" w:rsidP="00991D4F">
      <w:pPr>
        <w:overflowPunct/>
        <w:textAlignment w:val="auto"/>
        <w:rPr>
          <w:sz w:val="24"/>
          <w:szCs w:val="24"/>
        </w:rPr>
      </w:pPr>
      <w:r w:rsidRPr="00544DA5">
        <w:rPr>
          <w:b/>
          <w:bCs/>
          <w:sz w:val="24"/>
          <w:szCs w:val="24"/>
        </w:rPr>
        <w:t>NOLs: Temporary Repeal of 80% of Taxable Income Limitation</w:t>
      </w:r>
      <w:r w:rsidRPr="00544DA5">
        <w:rPr>
          <w:rFonts w:ascii="ArialMT,Bold" w:hAnsi="ArialMT,Bold" w:cs="ArialMT,Bold"/>
          <w:b/>
          <w:bCs/>
          <w:szCs w:val="22"/>
        </w:rPr>
        <w:t xml:space="preserve">.  </w:t>
      </w:r>
      <w:r w:rsidRPr="00544DA5">
        <w:rPr>
          <w:sz w:val="24"/>
          <w:szCs w:val="24"/>
        </w:rPr>
        <w:t xml:space="preserve">As noted above, the CARES Act provides additional relief for businesses affected by COVID-19 by </w:t>
      </w:r>
      <w:r w:rsidRPr="00544DA5">
        <w:rPr>
          <w:i/>
          <w:iCs/>
          <w:sz w:val="24"/>
          <w:szCs w:val="24"/>
        </w:rPr>
        <w:t xml:space="preserve">temporarily </w:t>
      </w:r>
      <w:r w:rsidRPr="00544DA5">
        <w:rPr>
          <w:sz w:val="24"/>
          <w:szCs w:val="24"/>
        </w:rPr>
        <w:t xml:space="preserve">removing the 80% taxable income limitation on the use of NOLs for taxable years beginning </w:t>
      </w:r>
      <w:r w:rsidRPr="00544DA5">
        <w:rPr>
          <w:i/>
          <w:iCs/>
          <w:sz w:val="24"/>
          <w:szCs w:val="24"/>
        </w:rPr>
        <w:t xml:space="preserve">before </w:t>
      </w:r>
      <w:r w:rsidRPr="00544DA5">
        <w:rPr>
          <w:sz w:val="24"/>
          <w:szCs w:val="24"/>
        </w:rPr>
        <w:t>January 1, 2021. However, the 80% limitation is reinstated for 2021.</w:t>
      </w:r>
      <w:r w:rsidR="00173E40">
        <w:rPr>
          <w:sz w:val="24"/>
          <w:szCs w:val="24"/>
        </w:rPr>
        <w:t xml:space="preserve">  See footnote 55.</w:t>
      </w:r>
    </w:p>
    <w:p w14:paraId="66EB2B88" w14:textId="77777777" w:rsidR="00991D4F" w:rsidRPr="00544DA5" w:rsidRDefault="00991D4F" w:rsidP="00991D4F">
      <w:pPr>
        <w:overflowPunct/>
        <w:textAlignment w:val="auto"/>
        <w:rPr>
          <w:sz w:val="24"/>
          <w:szCs w:val="24"/>
        </w:rPr>
      </w:pPr>
    </w:p>
    <w:p w14:paraId="66F1F31F" w14:textId="77777777" w:rsidR="00991D4F" w:rsidRPr="00544DA5" w:rsidRDefault="00991D4F" w:rsidP="00991D4F">
      <w:pPr>
        <w:overflowPunct/>
        <w:textAlignment w:val="auto"/>
        <w:rPr>
          <w:sz w:val="24"/>
          <w:szCs w:val="24"/>
        </w:rPr>
      </w:pPr>
      <w:r w:rsidRPr="00544DA5">
        <w:rPr>
          <w:sz w:val="24"/>
          <w:szCs w:val="24"/>
        </w:rPr>
        <w:t>The temporary repeal of the 80% limitation, when coupled with the new five-year NOL carryback period is aimed at businesses that may struggle given the current economic conditions.  The Act gives taxpayers the ability to utilize NOLs in prior taxable years beginning as early as in 2013 (e.g., an NOL incurred in a 2018</w:t>
      </w:r>
      <w:r w:rsidRPr="00544DA5">
        <w:rPr>
          <w:sz w:val="32"/>
          <w:szCs w:val="24"/>
        </w:rPr>
        <w:t xml:space="preserve"> </w:t>
      </w:r>
      <w:r w:rsidRPr="00544DA5">
        <w:rPr>
          <w:sz w:val="24"/>
          <w:szCs w:val="24"/>
        </w:rPr>
        <w:t>tax year could be carried back 5 years) without limitation.  In so doing, the Act allows businesses to use NOLs to offset taxable income in those prior years that had been subject to a marginal tax rate as high as 35% for corporations (rather than 21%) and 39.6% for individuals. This, in turn, might provide additional cash flow and liquidity that may help businesses survive.</w:t>
      </w:r>
    </w:p>
    <w:p w14:paraId="6B08C99F" w14:textId="77777777" w:rsidR="00991D4F" w:rsidRPr="00544DA5" w:rsidRDefault="00991D4F" w:rsidP="00991D4F">
      <w:pPr>
        <w:shd w:val="clear" w:color="auto" w:fill="FFFFFF"/>
        <w:overflowPunct/>
        <w:autoSpaceDE/>
        <w:autoSpaceDN/>
        <w:adjustRightInd/>
        <w:spacing w:before="180" w:after="180"/>
        <w:textAlignment w:val="auto"/>
        <w:rPr>
          <w:sz w:val="24"/>
          <w:szCs w:val="24"/>
        </w:rPr>
      </w:pPr>
      <w:r w:rsidRPr="00544DA5">
        <w:rPr>
          <w:sz w:val="24"/>
          <w:szCs w:val="24"/>
        </w:rPr>
        <w:t xml:space="preserve">Although the net effect of easing the NOL rules will be positive for many businesses with applicable losses, that may not be true for all business owners.  Some businesses may find that </w:t>
      </w:r>
      <w:r w:rsidRPr="00544DA5">
        <w:rPr>
          <w:sz w:val="24"/>
          <w:szCs w:val="24"/>
        </w:rPr>
        <w:lastRenderedPageBreak/>
        <w:t>using the new 5-year NOL carryback rule limits their ability to use other deductions or credits based on taxable income that they may have claimed on prior year returns (e.g., foreign tax credits).  For this reason, taxpayers that do not want to carry back any NOLs have that option.  Taxpayer can make an election (i.e., under §172(b)(3)) to forego this carryback option by the extended due date of their return “for the first tax year ending after the enactment date (i.e., 3/27/20) of this law change.”  In other words, an election made for a 2020 calendar tax year return would</w:t>
      </w:r>
      <w:r w:rsidRPr="00544DA5">
        <w:rPr>
          <w:i/>
          <w:iCs/>
          <w:sz w:val="24"/>
          <w:szCs w:val="24"/>
        </w:rPr>
        <w:t xml:space="preserve"> </w:t>
      </w:r>
      <w:r w:rsidRPr="00544DA5">
        <w:rPr>
          <w:sz w:val="24"/>
          <w:szCs w:val="24"/>
        </w:rPr>
        <w:t>apply to any NOLs arising in either 2018 or 2019 that otherwise would be carried back for five years.</w:t>
      </w:r>
    </w:p>
    <w:p w14:paraId="4B2BBF0A" w14:textId="77777777" w:rsidR="00991D4F" w:rsidRPr="00544DA5" w:rsidRDefault="00991D4F" w:rsidP="00991D4F">
      <w:pPr>
        <w:overflowPunct/>
        <w:textAlignment w:val="auto"/>
        <w:rPr>
          <w:sz w:val="24"/>
          <w:szCs w:val="24"/>
        </w:rPr>
      </w:pPr>
      <w:r w:rsidRPr="00544DA5">
        <w:rPr>
          <w:sz w:val="24"/>
          <w:szCs w:val="24"/>
        </w:rPr>
        <w:t>The amendments made by Act § 2303(b) apply to NOLs arising in tax years beginning after December. 31, 2017 and to tax years beginning before, on or after such date to which such NOLs are carried (Act § 2303(d)(2)).</w:t>
      </w:r>
    </w:p>
    <w:p w14:paraId="684CBA39" w14:textId="77777777" w:rsidR="00991D4F" w:rsidRPr="00371EE1" w:rsidRDefault="00991D4F" w:rsidP="00991D4F">
      <w:pPr>
        <w:overflowPunct/>
        <w:textAlignment w:val="auto"/>
        <w:rPr>
          <w:sz w:val="24"/>
          <w:szCs w:val="24"/>
          <w:highlight w:val="yellow"/>
        </w:rPr>
      </w:pPr>
    </w:p>
    <w:p w14:paraId="5800E183" w14:textId="4A167280" w:rsidR="00991D4F" w:rsidRPr="00173E40" w:rsidRDefault="00645779" w:rsidP="00991D4F">
      <w:pPr>
        <w:rPr>
          <w:b/>
          <w:sz w:val="24"/>
        </w:rPr>
      </w:pPr>
      <w:r w:rsidRPr="00173E40">
        <w:rPr>
          <w:b/>
          <w:sz w:val="24"/>
        </w:rPr>
        <w:t>Page 1-</w:t>
      </w:r>
      <w:r w:rsidR="00173E40" w:rsidRPr="00173E40">
        <w:rPr>
          <w:b/>
          <w:sz w:val="24"/>
        </w:rPr>
        <w:t>21</w:t>
      </w:r>
    </w:p>
    <w:p w14:paraId="4F203097" w14:textId="1CDCAC3F" w:rsidR="004B4083" w:rsidRPr="00173E40" w:rsidRDefault="00645779" w:rsidP="00645779">
      <w:pPr>
        <w:pStyle w:val="rtejustify"/>
        <w:shd w:val="clear" w:color="auto" w:fill="FFFFFF"/>
        <w:spacing w:before="150" w:beforeAutospacing="0" w:after="150" w:afterAutospacing="0" w:line="300" w:lineRule="atLeast"/>
        <w:jc w:val="both"/>
        <w:rPr>
          <w:b/>
          <w:bCs/>
        </w:rPr>
      </w:pPr>
      <w:r w:rsidRPr="00173E40">
        <w:rPr>
          <w:b/>
          <w:bCs/>
        </w:rPr>
        <w:t xml:space="preserve">Charitable </w:t>
      </w:r>
      <w:r w:rsidR="004B4083" w:rsidRPr="00173E40">
        <w:rPr>
          <w:b/>
          <w:bCs/>
        </w:rPr>
        <w:t>Contributions</w:t>
      </w:r>
      <w:r w:rsidR="00DE30B9" w:rsidRPr="00173E40">
        <w:rPr>
          <w:b/>
          <w:bCs/>
        </w:rPr>
        <w:t>: Limitations on Deductions</w:t>
      </w:r>
    </w:p>
    <w:p w14:paraId="79209DF5" w14:textId="4298D023" w:rsidR="00645779" w:rsidRPr="00173E40" w:rsidRDefault="00645779" w:rsidP="004B4083">
      <w:pPr>
        <w:pStyle w:val="rtejustify"/>
        <w:shd w:val="clear" w:color="auto" w:fill="FFFFFF"/>
        <w:spacing w:before="150" w:beforeAutospacing="0" w:after="150" w:afterAutospacing="0" w:line="300" w:lineRule="atLeast"/>
      </w:pPr>
      <w:r w:rsidRPr="00173E40">
        <w:rPr>
          <w:b/>
          <w:bCs/>
        </w:rPr>
        <w:t>Deduction</w:t>
      </w:r>
      <w:r w:rsidRPr="00173E40">
        <w:t xml:space="preserve"> </w:t>
      </w:r>
      <w:r w:rsidRPr="00173E40">
        <w:rPr>
          <w:b/>
          <w:bCs/>
        </w:rPr>
        <w:t>Limitations: Corporations</w:t>
      </w:r>
      <w:r w:rsidRPr="00173E40">
        <w:t xml:space="preserve">.  </w:t>
      </w:r>
      <w:r w:rsidR="00805EE5" w:rsidRPr="00173E40">
        <w:t>The</w:t>
      </w:r>
      <w:r w:rsidRPr="00173E40">
        <w:t xml:space="preserve"> charitable contribution deduction for C corporations generally is limited to 10% of taxable income. If a corporation's charitable contributions for a year did exceed the 10% limitation, the excess was carried over and deducted for each of the five succeeding years on a FIFO basis.  The </w:t>
      </w:r>
      <w:r w:rsidR="000C348F">
        <w:t xml:space="preserve">CARES </w:t>
      </w:r>
      <w:r w:rsidRPr="00173E40">
        <w:t>Act changes the limitation for C corporations to 25% of taxable income</w:t>
      </w:r>
      <w:r w:rsidR="000C348F">
        <w:t xml:space="preserve"> for 2020 only</w:t>
      </w:r>
      <w:r w:rsidRPr="00173E40">
        <w:t>.</w:t>
      </w:r>
    </w:p>
    <w:p w14:paraId="38DBE3EE" w14:textId="0460B727" w:rsidR="00645779" w:rsidRPr="00F33DFC" w:rsidRDefault="00645779" w:rsidP="00645779">
      <w:pPr>
        <w:overflowPunct/>
        <w:textAlignment w:val="auto"/>
        <w:rPr>
          <w:sz w:val="24"/>
          <w:szCs w:val="24"/>
        </w:rPr>
      </w:pPr>
      <w:r w:rsidRPr="00F33DFC">
        <w:rPr>
          <w:b/>
          <w:bCs/>
          <w:sz w:val="24"/>
          <w:szCs w:val="24"/>
        </w:rPr>
        <w:t>Increase in Limits on Contributions of Food Inventory</w:t>
      </w:r>
      <w:r w:rsidR="0010326F" w:rsidRPr="00F33DFC">
        <w:rPr>
          <w:b/>
          <w:bCs/>
          <w:sz w:val="24"/>
          <w:szCs w:val="24"/>
        </w:rPr>
        <w:t>.</w:t>
      </w:r>
      <w:r w:rsidR="0010326F" w:rsidRPr="00F33DFC">
        <w:rPr>
          <w:sz w:val="24"/>
          <w:szCs w:val="24"/>
        </w:rPr>
        <w:t xml:space="preserve"> </w:t>
      </w:r>
      <w:r w:rsidRPr="00F33DFC">
        <w:rPr>
          <w:sz w:val="24"/>
          <w:szCs w:val="24"/>
        </w:rPr>
        <w:t xml:space="preserve"> Previously, a donation of “apparently wholesome food inventory” to a charitable organization that was used for the care of the ill, the needy, or infants was deductible in an amount up to its basis plus half the gain that would be realized had the food been sold (not to exceed twice the basis).</w:t>
      </w:r>
      <w:r w:rsidR="00173E40" w:rsidRPr="00F33DFC">
        <w:rPr>
          <w:sz w:val="24"/>
          <w:szCs w:val="24"/>
        </w:rPr>
        <w:t xml:space="preserve"> </w:t>
      </w:r>
      <w:r w:rsidRPr="00F33DFC">
        <w:rPr>
          <w:sz w:val="24"/>
          <w:szCs w:val="24"/>
        </w:rPr>
        <w:t xml:space="preserve"> In the case of a C corporation, the deduction could not exceed 15% of the corporation's income.  In the case of a taxpayer other than a C corporation, the deduction could not exceed 15% of the taxpayer’s aggregate net income for that tax year from all businesses from which those contributions were made, computed without regard to the taxpayer's charitable deductions for the year (§ 170(e)(3)(C)).</w:t>
      </w:r>
    </w:p>
    <w:p w14:paraId="66C3E9A7" w14:textId="6879CFEA" w:rsidR="00645779" w:rsidRPr="00F33DFC" w:rsidRDefault="00645779" w:rsidP="00645779">
      <w:pPr>
        <w:overflowPunct/>
        <w:textAlignment w:val="auto"/>
        <w:rPr>
          <w:sz w:val="24"/>
          <w:szCs w:val="24"/>
        </w:rPr>
      </w:pPr>
      <w:r w:rsidRPr="00F33DFC">
        <w:rPr>
          <w:sz w:val="24"/>
          <w:szCs w:val="24"/>
        </w:rPr>
        <w:tab/>
        <w:t xml:space="preserve">The </w:t>
      </w:r>
      <w:r w:rsidR="00F33DFC" w:rsidRPr="00F33DFC">
        <w:rPr>
          <w:sz w:val="24"/>
          <w:szCs w:val="24"/>
        </w:rPr>
        <w:t xml:space="preserve">CARES </w:t>
      </w:r>
      <w:r w:rsidRPr="00F33DFC">
        <w:rPr>
          <w:sz w:val="24"/>
          <w:szCs w:val="24"/>
        </w:rPr>
        <w:t xml:space="preserve">Act provides that in the case of charitable contribution of food during 2020, the taxable income limit is also 25% rather than 15%. (Act § 2205(b)).  The </w:t>
      </w:r>
      <w:r w:rsidR="00F33DFC">
        <w:rPr>
          <w:sz w:val="24"/>
          <w:szCs w:val="24"/>
        </w:rPr>
        <w:t xml:space="preserve">CARES </w:t>
      </w:r>
      <w:r w:rsidRPr="00F33DFC">
        <w:rPr>
          <w:sz w:val="24"/>
          <w:szCs w:val="24"/>
        </w:rPr>
        <w:t xml:space="preserve">Act emphasizes that the food donations must be made to a charity. </w:t>
      </w:r>
      <w:r w:rsidR="00F33DFC">
        <w:rPr>
          <w:sz w:val="24"/>
          <w:szCs w:val="24"/>
        </w:rPr>
        <w:t>Thus</w:t>
      </w:r>
      <w:proofErr w:type="gramStart"/>
      <w:r w:rsidRPr="00F33DFC">
        <w:rPr>
          <w:sz w:val="24"/>
          <w:szCs w:val="24"/>
        </w:rPr>
        <w:t>, it would appear that, for</w:t>
      </w:r>
      <w:proofErr w:type="gramEnd"/>
      <w:r w:rsidRPr="00F33DFC">
        <w:rPr>
          <w:sz w:val="24"/>
          <w:szCs w:val="24"/>
        </w:rPr>
        <w:t xml:space="preserve"> instance, a restaurant that wanted to give excess food that would otherwise spoil would need to donate it first to a church or a school to be distributed, instead of inviting the general public to consume the food </w:t>
      </w:r>
      <w:r w:rsidR="007150CC" w:rsidRPr="00F33DFC">
        <w:rPr>
          <w:sz w:val="24"/>
          <w:szCs w:val="24"/>
        </w:rPr>
        <w:t>at the business’s location (or picking the food up and eating it elsewhere)</w:t>
      </w:r>
      <w:r w:rsidRPr="00F33DFC">
        <w:rPr>
          <w:sz w:val="24"/>
          <w:szCs w:val="24"/>
        </w:rPr>
        <w:t>.</w:t>
      </w:r>
      <w:r w:rsidR="00F33DFC" w:rsidRPr="00F33DFC">
        <w:rPr>
          <w:sz w:val="24"/>
          <w:szCs w:val="24"/>
        </w:rPr>
        <w:t xml:space="preserve">  The Consolidated Appropriations Act of 2021 (§ 213), signed into law on December 28, 2020, maintains and expands the charitable incentives originally enacted by the CARES Act).</w:t>
      </w:r>
    </w:p>
    <w:p w14:paraId="04E79911" w14:textId="77777777" w:rsidR="00645779" w:rsidRPr="00F33DFC" w:rsidRDefault="00645779" w:rsidP="00645779">
      <w:pPr>
        <w:overflowPunct/>
        <w:textAlignment w:val="auto"/>
        <w:rPr>
          <w:sz w:val="24"/>
          <w:szCs w:val="24"/>
        </w:rPr>
      </w:pPr>
    </w:p>
    <w:p w14:paraId="462A0104" w14:textId="71DF8D26" w:rsidR="00645779" w:rsidRPr="00371EE1" w:rsidRDefault="00F33DFC" w:rsidP="00645779">
      <w:pPr>
        <w:overflowPunct/>
        <w:textAlignment w:val="auto"/>
        <w:rPr>
          <w:sz w:val="24"/>
          <w:szCs w:val="24"/>
          <w:highlight w:val="yellow"/>
        </w:rPr>
      </w:pPr>
      <w:r w:rsidRPr="00B85768">
        <w:rPr>
          <w:b/>
          <w:szCs w:val="24"/>
        </w:rPr>
        <w:t>Charitable Contributions</w:t>
      </w:r>
      <w:r>
        <w:rPr>
          <w:b/>
          <w:szCs w:val="24"/>
        </w:rPr>
        <w:t xml:space="preserve"> for Individuals</w:t>
      </w:r>
      <w:r w:rsidRPr="00B85768">
        <w:rPr>
          <w:b/>
          <w:szCs w:val="24"/>
        </w:rPr>
        <w:t xml:space="preserve">: </w:t>
      </w:r>
      <w:r>
        <w:rPr>
          <w:b/>
          <w:szCs w:val="24"/>
        </w:rPr>
        <w:t xml:space="preserve">$300 </w:t>
      </w:r>
      <w:r w:rsidRPr="00B85768">
        <w:rPr>
          <w:b/>
          <w:szCs w:val="24"/>
        </w:rPr>
        <w:t>Deduction</w:t>
      </w:r>
      <w:r>
        <w:rPr>
          <w:b/>
          <w:szCs w:val="24"/>
        </w:rPr>
        <w:t xml:space="preserve"> from Taxable Income</w:t>
      </w:r>
      <w:r w:rsidRPr="00B85768">
        <w:rPr>
          <w:b/>
          <w:szCs w:val="24"/>
        </w:rPr>
        <w:t xml:space="preserve">.  </w:t>
      </w:r>
      <w:r w:rsidRPr="00B85768">
        <w:rPr>
          <w:bCs/>
          <w:szCs w:val="24"/>
        </w:rPr>
        <w:t xml:space="preserve">The </w:t>
      </w:r>
      <w:r>
        <w:rPr>
          <w:bCs/>
          <w:szCs w:val="24"/>
        </w:rPr>
        <w:t xml:space="preserve">CARES </w:t>
      </w:r>
      <w:r w:rsidRPr="00B85768">
        <w:rPr>
          <w:bCs/>
          <w:szCs w:val="24"/>
        </w:rPr>
        <w:t>Act</w:t>
      </w:r>
      <w:r w:rsidRPr="00B85768">
        <w:rPr>
          <w:b/>
          <w:szCs w:val="24"/>
        </w:rPr>
        <w:t xml:space="preserve"> </w:t>
      </w:r>
      <w:r w:rsidRPr="00B85768">
        <w:rPr>
          <w:szCs w:val="24"/>
        </w:rPr>
        <w:t>allow</w:t>
      </w:r>
      <w:r>
        <w:rPr>
          <w:szCs w:val="24"/>
        </w:rPr>
        <w:t>ed individual</w:t>
      </w:r>
      <w:r w:rsidRPr="00B85768">
        <w:rPr>
          <w:szCs w:val="24"/>
        </w:rPr>
        <w:t xml:space="preserve"> taxpayers to claim contributions of up to $300 of </w:t>
      </w:r>
      <w:r w:rsidRPr="00B85768">
        <w:rPr>
          <w:i/>
          <w:szCs w:val="24"/>
        </w:rPr>
        <w:t>cash</w:t>
      </w:r>
      <w:r w:rsidRPr="00B85768">
        <w:rPr>
          <w:szCs w:val="24"/>
        </w:rPr>
        <w:t xml:space="preserve"> contributions to public charities as a deduction for AGI (i.e., an above-the-line deduction) in 2020</w:t>
      </w:r>
      <w:r>
        <w:rPr>
          <w:szCs w:val="24"/>
        </w:rPr>
        <w:t xml:space="preserve">.  In short, nonitemizers were allowed to claim up to a $300 deduction.  Moreover, </w:t>
      </w:r>
      <w:r w:rsidRPr="00B85768">
        <w:rPr>
          <w:szCs w:val="24"/>
        </w:rPr>
        <w:t>a taxpayer choosing to take the standard deduction in 2020 effectively increase</w:t>
      </w:r>
      <w:r>
        <w:rPr>
          <w:szCs w:val="24"/>
        </w:rPr>
        <w:t>d</w:t>
      </w:r>
      <w:r w:rsidRPr="00B85768">
        <w:rPr>
          <w:szCs w:val="24"/>
        </w:rPr>
        <w:t xml:space="preserve"> this amount by $300 by making $300 of charitable contributions</w:t>
      </w:r>
      <w:r>
        <w:rPr>
          <w:szCs w:val="24"/>
        </w:rPr>
        <w:t>.  In 2020, the</w:t>
      </w:r>
      <w:r w:rsidRPr="00B85768">
        <w:rPr>
          <w:szCs w:val="24"/>
        </w:rPr>
        <w:t xml:space="preserve"> deduction reduce</w:t>
      </w:r>
      <w:r>
        <w:rPr>
          <w:szCs w:val="24"/>
        </w:rPr>
        <w:t>d</w:t>
      </w:r>
      <w:r w:rsidRPr="00B85768">
        <w:rPr>
          <w:szCs w:val="24"/>
        </w:rPr>
        <w:t xml:space="preserve"> AGI and, therefore,</w:t>
      </w:r>
      <w:r>
        <w:rPr>
          <w:szCs w:val="24"/>
        </w:rPr>
        <w:t xml:space="preserve"> slightly</w:t>
      </w:r>
      <w:r w:rsidRPr="00B85768">
        <w:rPr>
          <w:szCs w:val="24"/>
        </w:rPr>
        <w:t xml:space="preserve"> impacts deductions whose calculation involves AGI (§ 62(a)(22)).</w:t>
      </w:r>
      <w:r>
        <w:rPr>
          <w:szCs w:val="24"/>
        </w:rPr>
        <w:t xml:space="preserve">  The Consolidated Appropriations Act of 2021 continues the $300 deduction; however, it is not a deduction for AGI or an itemized deduction but simply a reduction in taxable income (much like the qualified business income deduction).</w:t>
      </w:r>
    </w:p>
    <w:p w14:paraId="4C5D5D92" w14:textId="77777777" w:rsidR="00817568" w:rsidRPr="00F33DFC" w:rsidRDefault="00817568" w:rsidP="00817568">
      <w:pPr>
        <w:overflowPunct/>
        <w:autoSpaceDE/>
        <w:autoSpaceDN/>
        <w:adjustRightInd/>
        <w:jc w:val="both"/>
        <w:textAlignment w:val="auto"/>
        <w:rPr>
          <w:sz w:val="24"/>
          <w:szCs w:val="24"/>
        </w:rPr>
      </w:pPr>
      <w:r w:rsidRPr="00F33DFC">
        <w:rPr>
          <w:b/>
          <w:bCs/>
          <w:sz w:val="24"/>
        </w:rPr>
        <w:lastRenderedPageBreak/>
        <w:t xml:space="preserve">Charitable Contributions: Unlimited Itemized Deduction for Individuals.  </w:t>
      </w:r>
      <w:r w:rsidRPr="00F33DFC">
        <w:rPr>
          <w:sz w:val="24"/>
          <w:szCs w:val="24"/>
        </w:rPr>
        <w:t xml:space="preserve">As discussed in the text, for large contributions and contributions of property there is a long list of complex interrelated limitations that can apply (e.g., cash contributions subject to 60% of AGI, non-cash donations subject to 30% of AGI or 20% for certain others and more). However, the Act generally provides that for 2020 the limitation for cash contributions does not apply.  In other words, after considering other current charitable contributions that are subject to various AGI limitations, individuals can claim an itemized deduction for charitable contributions of cash equal to 100% of their AGI.  However, this 100% of AGI limit applies to cash contributions made directly to charitable organizations, not to contributions to donor advised funds, supporting organizations or private foundations.  Moreover, any cash contributions that exceed the taxpayer’s AGI and which, therefore, are not deducted in 2020 generally can be carried forward subject to the 60% of AGI limit in the succeeding 5 years.  </w:t>
      </w:r>
    </w:p>
    <w:p w14:paraId="622222AA" w14:textId="77777777" w:rsidR="00817568" w:rsidRPr="00371EE1" w:rsidRDefault="00817568" w:rsidP="00817568">
      <w:pPr>
        <w:overflowPunct/>
        <w:autoSpaceDE/>
        <w:autoSpaceDN/>
        <w:adjustRightInd/>
        <w:jc w:val="both"/>
        <w:textAlignment w:val="auto"/>
        <w:rPr>
          <w:sz w:val="24"/>
          <w:szCs w:val="24"/>
          <w:highlight w:val="yellow"/>
        </w:rPr>
      </w:pPr>
    </w:p>
    <w:p w14:paraId="5298C593" w14:textId="3E6240F4" w:rsidR="00817568" w:rsidRPr="000C348F" w:rsidRDefault="00817568" w:rsidP="00817568">
      <w:pPr>
        <w:overflowPunct/>
        <w:autoSpaceDE/>
        <w:autoSpaceDN/>
        <w:adjustRightInd/>
        <w:jc w:val="both"/>
        <w:textAlignment w:val="auto"/>
        <w:rPr>
          <w:b/>
          <w:sz w:val="24"/>
          <w:szCs w:val="24"/>
        </w:rPr>
      </w:pPr>
      <w:r w:rsidRPr="000C348F">
        <w:rPr>
          <w:b/>
          <w:sz w:val="24"/>
          <w:szCs w:val="24"/>
        </w:rPr>
        <w:t>Page 1-3</w:t>
      </w:r>
      <w:r w:rsidR="00B22C3C" w:rsidRPr="000C348F">
        <w:rPr>
          <w:b/>
          <w:sz w:val="24"/>
          <w:szCs w:val="24"/>
        </w:rPr>
        <w:t>0</w:t>
      </w:r>
    </w:p>
    <w:p w14:paraId="40DC9201" w14:textId="77777777" w:rsidR="00645779" w:rsidRPr="000C348F" w:rsidRDefault="00645779" w:rsidP="00991D4F">
      <w:pPr>
        <w:rPr>
          <w:b/>
          <w:sz w:val="24"/>
        </w:rPr>
      </w:pPr>
    </w:p>
    <w:p w14:paraId="39CB8EEB" w14:textId="6987D127" w:rsidR="00454A2C" w:rsidRPr="000C348F" w:rsidRDefault="00454A2C" w:rsidP="00991D4F">
      <w:pPr>
        <w:rPr>
          <w:b/>
          <w:sz w:val="24"/>
        </w:rPr>
      </w:pPr>
      <w:r w:rsidRPr="000C348F">
        <w:rPr>
          <w:b/>
          <w:sz w:val="24"/>
        </w:rPr>
        <w:t>Alternative Minimum Tax</w:t>
      </w:r>
    </w:p>
    <w:p w14:paraId="2DC7EACF" w14:textId="77777777" w:rsidR="00454A2C" w:rsidRPr="000C348F" w:rsidRDefault="00454A2C" w:rsidP="00991D4F">
      <w:pPr>
        <w:rPr>
          <w:b/>
          <w:sz w:val="24"/>
        </w:rPr>
      </w:pPr>
    </w:p>
    <w:p w14:paraId="1DDB7E1E" w14:textId="67630C7B" w:rsidR="00817568" w:rsidRPr="000C348F" w:rsidRDefault="00817568" w:rsidP="00817568">
      <w:pPr>
        <w:overflowPunct/>
        <w:autoSpaceDE/>
        <w:autoSpaceDN/>
        <w:adjustRightInd/>
        <w:jc w:val="both"/>
        <w:textAlignment w:val="auto"/>
        <w:rPr>
          <w:sz w:val="24"/>
          <w:shd w:val="clear" w:color="auto" w:fill="FFFFFF"/>
        </w:rPr>
      </w:pPr>
      <w:r w:rsidRPr="000C348F">
        <w:rPr>
          <w:b/>
          <w:sz w:val="24"/>
          <w:shd w:val="clear" w:color="auto" w:fill="FFFFFF"/>
        </w:rPr>
        <w:t xml:space="preserve">Minimum AMT Credit.  </w:t>
      </w:r>
      <w:r w:rsidRPr="000C348F">
        <w:rPr>
          <w:sz w:val="24"/>
          <w:shd w:val="clear" w:color="auto" w:fill="FFFFFF"/>
        </w:rPr>
        <w:t>As noted in the text, the Tax Cuts and Jobs Act of</w:t>
      </w:r>
      <w:r w:rsidR="0010326F" w:rsidRPr="000C348F">
        <w:rPr>
          <w:sz w:val="24"/>
          <w:shd w:val="clear" w:color="auto" w:fill="FFFFFF"/>
        </w:rPr>
        <w:t xml:space="preserve"> </w:t>
      </w:r>
      <w:r w:rsidRPr="000C348F">
        <w:rPr>
          <w:sz w:val="24"/>
          <w:shd w:val="clear" w:color="auto" w:fill="FFFFFF"/>
        </w:rPr>
        <w:t>2017</w:t>
      </w:r>
      <w:r w:rsidR="0010326F" w:rsidRPr="000C348F">
        <w:rPr>
          <w:sz w:val="24"/>
          <w:shd w:val="clear" w:color="auto" w:fill="FFFFFF"/>
        </w:rPr>
        <w:t xml:space="preserve"> </w:t>
      </w:r>
      <w:r w:rsidRPr="000C348F">
        <w:rPr>
          <w:sz w:val="24"/>
          <w:shd w:val="clear" w:color="auto" w:fill="FFFFFF"/>
        </w:rPr>
        <w:t>eliminated the alternative minimum tax for C corporations, starting in 2018.  Although not discussed in this chapter, upon repeal of the AMT, corporations were allowed to utilize any unused minimum tax credits for the AMT to reduce their tax liability over a four-year stretch through 2021. The Cares Act goes one step further, letting companies immediately claim a refund of any unused AMT credits on their return for either 2018 or 2019, rather than having to wait.</w:t>
      </w:r>
    </w:p>
    <w:p w14:paraId="420A2C04" w14:textId="77777777" w:rsidR="00817568" w:rsidRPr="00371EE1" w:rsidRDefault="00817568" w:rsidP="00991D4F">
      <w:pPr>
        <w:rPr>
          <w:b/>
          <w:sz w:val="24"/>
          <w:highlight w:val="yellow"/>
        </w:rPr>
      </w:pPr>
    </w:p>
    <w:p w14:paraId="34D83103" w14:textId="31569EEA" w:rsidR="00991D4F" w:rsidRPr="000C348F" w:rsidRDefault="008131D7" w:rsidP="00991D4F">
      <w:pPr>
        <w:rPr>
          <w:b/>
          <w:sz w:val="24"/>
        </w:rPr>
      </w:pPr>
      <w:r w:rsidRPr="000C348F">
        <w:rPr>
          <w:b/>
          <w:sz w:val="24"/>
        </w:rPr>
        <w:t>Page 1-3</w:t>
      </w:r>
      <w:r w:rsidR="000D1203" w:rsidRPr="000C348F">
        <w:rPr>
          <w:b/>
          <w:sz w:val="24"/>
        </w:rPr>
        <w:t>1</w:t>
      </w:r>
      <w:r w:rsidRPr="000C348F">
        <w:rPr>
          <w:b/>
          <w:sz w:val="24"/>
        </w:rPr>
        <w:t xml:space="preserve">  </w:t>
      </w:r>
    </w:p>
    <w:p w14:paraId="269EC7A9" w14:textId="77777777" w:rsidR="00941D6A" w:rsidRPr="000C348F" w:rsidRDefault="00941D6A" w:rsidP="00991D4F">
      <w:pPr>
        <w:rPr>
          <w:b/>
          <w:sz w:val="24"/>
        </w:rPr>
      </w:pPr>
    </w:p>
    <w:p w14:paraId="1A6FA9B9" w14:textId="0CDBB3A3" w:rsidR="00454A2C" w:rsidRPr="000C348F" w:rsidRDefault="00454A2C" w:rsidP="00991D4F">
      <w:pPr>
        <w:rPr>
          <w:b/>
          <w:sz w:val="24"/>
        </w:rPr>
      </w:pPr>
      <w:r w:rsidRPr="000C348F">
        <w:rPr>
          <w:b/>
          <w:sz w:val="24"/>
        </w:rPr>
        <w:t>Tax Credits</w:t>
      </w:r>
    </w:p>
    <w:p w14:paraId="48CEEEE8" w14:textId="77777777" w:rsidR="00454A2C" w:rsidRPr="00371EE1" w:rsidRDefault="00454A2C" w:rsidP="00991D4F">
      <w:pPr>
        <w:rPr>
          <w:b/>
          <w:sz w:val="24"/>
          <w:highlight w:val="yellow"/>
        </w:rPr>
      </w:pPr>
    </w:p>
    <w:p w14:paraId="50588EF0" w14:textId="77777777" w:rsidR="000C348F" w:rsidRPr="000C348F" w:rsidRDefault="00E556DE" w:rsidP="00E556DE">
      <w:pPr>
        <w:overflowPunct/>
        <w:textAlignment w:val="auto"/>
        <w:rPr>
          <w:sz w:val="24"/>
        </w:rPr>
      </w:pPr>
      <w:r w:rsidRPr="000C348F">
        <w:rPr>
          <w:b/>
          <w:bCs/>
          <w:sz w:val="24"/>
        </w:rPr>
        <w:t xml:space="preserve">Employee Retention Credit of $5,000 </w:t>
      </w:r>
      <w:r w:rsidRPr="000C348F">
        <w:rPr>
          <w:b/>
          <w:bCs/>
          <w:color w:val="333333"/>
          <w:sz w:val="24"/>
          <w:szCs w:val="24"/>
          <w:shd w:val="clear" w:color="auto" w:fill="FCFCFC"/>
        </w:rPr>
        <w:t>for Employers Subject to Closure Due to COVID-19</w:t>
      </w:r>
      <w:r w:rsidRPr="000C348F">
        <w:rPr>
          <w:sz w:val="24"/>
        </w:rPr>
        <w:t xml:space="preserve">.  </w:t>
      </w:r>
    </w:p>
    <w:p w14:paraId="24F93486" w14:textId="77777777" w:rsidR="000C348F" w:rsidRDefault="000C348F" w:rsidP="00E556DE">
      <w:pPr>
        <w:overflowPunct/>
        <w:textAlignment w:val="auto"/>
        <w:rPr>
          <w:sz w:val="24"/>
          <w:highlight w:val="yellow"/>
        </w:rPr>
      </w:pPr>
    </w:p>
    <w:p w14:paraId="0760CB08" w14:textId="7D8869FF" w:rsidR="000C348F" w:rsidRPr="000C348F" w:rsidRDefault="000C348F" w:rsidP="000C348F">
      <w:pPr>
        <w:rPr>
          <w:sz w:val="24"/>
          <w:szCs w:val="22"/>
        </w:rPr>
      </w:pPr>
      <w:r w:rsidRPr="000C348F">
        <w:rPr>
          <w:b/>
          <w:bCs/>
          <w:sz w:val="24"/>
          <w:szCs w:val="22"/>
        </w:rPr>
        <w:t>Note</w:t>
      </w:r>
      <w:r w:rsidR="0061610D">
        <w:rPr>
          <w:b/>
          <w:bCs/>
          <w:sz w:val="24"/>
          <w:szCs w:val="22"/>
        </w:rPr>
        <w:t>.</w:t>
      </w:r>
      <w:r w:rsidRPr="000C348F">
        <w:rPr>
          <w:b/>
          <w:bCs/>
          <w:sz w:val="24"/>
          <w:szCs w:val="22"/>
        </w:rPr>
        <w:t xml:space="preserve">  </w:t>
      </w:r>
      <w:r w:rsidRPr="000C348F">
        <w:rPr>
          <w:sz w:val="24"/>
          <w:szCs w:val="22"/>
        </w:rPr>
        <w:t>At this writing,</w:t>
      </w:r>
      <w:r w:rsidR="0061610D">
        <w:rPr>
          <w:sz w:val="24"/>
          <w:szCs w:val="22"/>
        </w:rPr>
        <w:t xml:space="preserve"> the </w:t>
      </w:r>
      <w:r w:rsidRPr="000C348F">
        <w:rPr>
          <w:sz w:val="24"/>
          <w:szCs w:val="22"/>
        </w:rPr>
        <w:t xml:space="preserve">infrastructure bill known as the Infrastructure Investment and Jobs Act passed by the Senate on August 10, 2021,would end the employee retention credit (ERC) discussed below.  Under the CARES Act, only wages paid through </w:t>
      </w:r>
      <w:r w:rsidRPr="0061610D">
        <w:rPr>
          <w:b/>
          <w:bCs/>
          <w:sz w:val="24"/>
          <w:szCs w:val="22"/>
        </w:rPr>
        <w:t>September 30, 2021</w:t>
      </w:r>
      <w:r w:rsidRPr="000C348F">
        <w:rPr>
          <w:sz w:val="24"/>
          <w:szCs w:val="22"/>
        </w:rPr>
        <w:t xml:space="preserve">, would be eligible for the credit (except for wages paid by an eligible recovery startup business). </w:t>
      </w:r>
    </w:p>
    <w:p w14:paraId="0F5F8F62" w14:textId="77777777" w:rsidR="000C348F" w:rsidRDefault="000C348F" w:rsidP="00E556DE">
      <w:pPr>
        <w:overflowPunct/>
        <w:textAlignment w:val="auto"/>
        <w:rPr>
          <w:sz w:val="24"/>
          <w:szCs w:val="24"/>
          <w:highlight w:val="yellow"/>
        </w:rPr>
      </w:pPr>
    </w:p>
    <w:p w14:paraId="298F9AB5" w14:textId="600C637D" w:rsidR="00E556DE" w:rsidRPr="000C348F" w:rsidRDefault="00E556DE" w:rsidP="00E556DE">
      <w:pPr>
        <w:overflowPunct/>
        <w:textAlignment w:val="auto"/>
        <w:rPr>
          <w:color w:val="333333"/>
          <w:sz w:val="24"/>
          <w:szCs w:val="24"/>
          <w:shd w:val="clear" w:color="auto" w:fill="FCFCFC"/>
        </w:rPr>
      </w:pPr>
      <w:r w:rsidRPr="000C348F">
        <w:rPr>
          <w:sz w:val="24"/>
          <w:szCs w:val="24"/>
        </w:rPr>
        <w:t xml:space="preserve">To help employers and employees during the crisis, Congress created several tax credits.  Among these is one </w:t>
      </w:r>
      <w:r w:rsidRPr="000C348F">
        <w:rPr>
          <w:color w:val="333333"/>
          <w:sz w:val="24"/>
          <w:szCs w:val="24"/>
          <w:shd w:val="clear" w:color="auto" w:fill="FCFCFC"/>
        </w:rPr>
        <w:t xml:space="preserve">for businesses and nonprofit organizations that were required to suspend or close its operations due to COVID-19, but that continue to pay its employees during the shut-down in hopes of retaining them.  This so-called </w:t>
      </w:r>
      <w:r w:rsidRPr="000C348F">
        <w:rPr>
          <w:i/>
          <w:iCs/>
          <w:color w:val="333333"/>
          <w:sz w:val="24"/>
          <w:szCs w:val="24"/>
          <w:shd w:val="clear" w:color="auto" w:fill="FCFCFC"/>
        </w:rPr>
        <w:t>retention credit</w:t>
      </w:r>
      <w:r w:rsidRPr="000C348F">
        <w:rPr>
          <w:color w:val="333333"/>
          <w:sz w:val="24"/>
          <w:szCs w:val="24"/>
          <w:shd w:val="clear" w:color="auto" w:fill="FCFCFC"/>
        </w:rPr>
        <w:t xml:space="preserve"> and the PPP loans are key elements  of the CARES relief package (see Act § 2301 Employee Retention Credit for Employers Subject to Closure Due to COVID-19).  </w:t>
      </w:r>
    </w:p>
    <w:p w14:paraId="565197C9" w14:textId="77777777" w:rsidR="000C348F" w:rsidRPr="000C348F" w:rsidRDefault="000C348F" w:rsidP="00E556DE">
      <w:pPr>
        <w:overflowPunct/>
        <w:textAlignment w:val="auto"/>
        <w:rPr>
          <w:color w:val="333333"/>
          <w:sz w:val="24"/>
          <w:szCs w:val="24"/>
          <w:shd w:val="clear" w:color="auto" w:fill="FCFCFC"/>
        </w:rPr>
      </w:pPr>
    </w:p>
    <w:p w14:paraId="7195B478" w14:textId="43795248" w:rsidR="00E556DE" w:rsidRPr="000C348F" w:rsidRDefault="00E556DE" w:rsidP="00E556DE">
      <w:pPr>
        <w:overflowPunct/>
        <w:textAlignment w:val="auto"/>
        <w:rPr>
          <w:b/>
          <w:bCs/>
          <w:color w:val="333333"/>
          <w:sz w:val="24"/>
          <w:szCs w:val="24"/>
          <w:shd w:val="clear" w:color="auto" w:fill="FCFCFC"/>
        </w:rPr>
      </w:pPr>
      <w:r w:rsidRPr="000C348F">
        <w:rPr>
          <w:color w:val="333333"/>
          <w:sz w:val="24"/>
          <w:szCs w:val="24"/>
          <w:shd w:val="clear" w:color="auto" w:fill="FCFCFC"/>
        </w:rPr>
        <w:t xml:space="preserve">As </w:t>
      </w:r>
      <w:r w:rsidR="000C348F" w:rsidRPr="000C348F">
        <w:rPr>
          <w:color w:val="333333"/>
          <w:sz w:val="24"/>
          <w:szCs w:val="24"/>
          <w:shd w:val="clear" w:color="auto" w:fill="FCFCFC"/>
        </w:rPr>
        <w:t>noted</w:t>
      </w:r>
      <w:r w:rsidRPr="000C348F">
        <w:rPr>
          <w:color w:val="333333"/>
          <w:sz w:val="24"/>
          <w:szCs w:val="24"/>
          <w:shd w:val="clear" w:color="auto" w:fill="FCFCFC"/>
        </w:rPr>
        <w:t xml:space="preserve"> below, the effect of this credit is to reduce or eliminate the employer’s share of FICA taxes attributable to employee wages and other compensation (i.e., 6.2% of wages).  In short, it reduces or eliminates the amount of FICA taxes that the employer must pay.  However, </w:t>
      </w:r>
      <w:r w:rsidRPr="000C348F">
        <w:rPr>
          <w:b/>
          <w:bCs/>
          <w:i/>
          <w:iCs/>
          <w:color w:val="333333"/>
          <w:sz w:val="24"/>
          <w:szCs w:val="24"/>
          <w:shd w:val="clear" w:color="auto" w:fill="FCFCFC"/>
        </w:rPr>
        <w:t>the credit is not available</w:t>
      </w:r>
      <w:r w:rsidRPr="000C348F">
        <w:rPr>
          <w:b/>
          <w:bCs/>
          <w:color w:val="333333"/>
          <w:sz w:val="24"/>
          <w:szCs w:val="24"/>
          <w:shd w:val="clear" w:color="auto" w:fill="FCFCFC"/>
        </w:rPr>
        <w:t xml:space="preserve"> if the taxpayer has received a PPP loan </w:t>
      </w:r>
      <w:r w:rsidRPr="000C348F">
        <w:rPr>
          <w:color w:val="333333"/>
          <w:sz w:val="24"/>
          <w:szCs w:val="24"/>
          <w:shd w:val="clear" w:color="auto" w:fill="FCFCFC"/>
        </w:rPr>
        <w:t xml:space="preserve">(generally a loan equal to 2.5 times the businesses’ average monthly payroll but not to exceed $10 million).  Consequently, the </w:t>
      </w:r>
      <w:r w:rsidRPr="000C348F">
        <w:rPr>
          <w:color w:val="333333"/>
          <w:sz w:val="24"/>
          <w:szCs w:val="24"/>
          <w:shd w:val="clear" w:color="auto" w:fill="FCFCFC"/>
        </w:rPr>
        <w:lastRenderedPageBreak/>
        <w:t>taxpayer must choose between one or the other.  Interestingly, it is estimated that the credit will provide an aggregate benefit to businesses of about $54.6 billion</w:t>
      </w:r>
      <w:r w:rsidRPr="000C348F">
        <w:rPr>
          <w:b/>
          <w:bCs/>
          <w:color w:val="333333"/>
          <w:sz w:val="24"/>
          <w:szCs w:val="24"/>
          <w:shd w:val="clear" w:color="auto" w:fill="FCFCFC"/>
        </w:rPr>
        <w:t xml:space="preserve">.  </w:t>
      </w:r>
    </w:p>
    <w:p w14:paraId="0DDB5AC9" w14:textId="77777777" w:rsidR="0025269A" w:rsidRPr="000C348F" w:rsidRDefault="0025269A" w:rsidP="00E556DE">
      <w:pPr>
        <w:overflowPunct/>
        <w:textAlignment w:val="auto"/>
        <w:rPr>
          <w:b/>
          <w:bCs/>
          <w:color w:val="333333"/>
          <w:sz w:val="24"/>
          <w:szCs w:val="24"/>
          <w:shd w:val="clear" w:color="auto" w:fill="FCFCFC"/>
        </w:rPr>
      </w:pPr>
    </w:p>
    <w:p w14:paraId="17395562" w14:textId="77777777" w:rsidR="00E556DE" w:rsidRPr="000C348F" w:rsidRDefault="00E556DE" w:rsidP="00E556DE">
      <w:pPr>
        <w:overflowPunct/>
        <w:autoSpaceDE/>
        <w:autoSpaceDN/>
        <w:adjustRightInd/>
        <w:jc w:val="both"/>
        <w:textAlignment w:val="auto"/>
        <w:rPr>
          <w:sz w:val="24"/>
          <w:szCs w:val="24"/>
        </w:rPr>
      </w:pPr>
      <w:r w:rsidRPr="000C348F">
        <w:rPr>
          <w:b/>
          <w:i/>
          <w:iCs/>
          <w:color w:val="333333"/>
          <w:sz w:val="24"/>
          <w:szCs w:val="24"/>
          <w:shd w:val="clear" w:color="auto" w:fill="FCFCFC"/>
        </w:rPr>
        <w:t>Eligible Employer</w:t>
      </w:r>
      <w:r w:rsidRPr="000C348F">
        <w:rPr>
          <w:i/>
          <w:iCs/>
          <w:color w:val="333333"/>
          <w:sz w:val="24"/>
          <w:szCs w:val="24"/>
          <w:shd w:val="clear" w:color="auto" w:fill="FCFCFC"/>
        </w:rPr>
        <w:t xml:space="preserve">.  </w:t>
      </w:r>
      <w:r w:rsidRPr="000C348F">
        <w:rPr>
          <w:color w:val="333333"/>
          <w:sz w:val="24"/>
          <w:szCs w:val="24"/>
          <w:shd w:val="clear" w:color="auto" w:fill="FCFCFC"/>
        </w:rPr>
        <w:t xml:space="preserve">An employer is eligible for the retention credit if it meets </w:t>
      </w:r>
      <w:r w:rsidRPr="000C348F">
        <w:rPr>
          <w:i/>
          <w:color w:val="333333"/>
          <w:sz w:val="24"/>
          <w:szCs w:val="24"/>
          <w:shd w:val="clear" w:color="auto" w:fill="FCFCFC"/>
        </w:rPr>
        <w:t>either</w:t>
      </w:r>
      <w:r w:rsidRPr="000C348F">
        <w:rPr>
          <w:color w:val="333333"/>
          <w:sz w:val="24"/>
          <w:szCs w:val="24"/>
          <w:shd w:val="clear" w:color="auto" w:fill="FCFCFC"/>
        </w:rPr>
        <w:t xml:space="preserve"> of two tests:</w:t>
      </w:r>
    </w:p>
    <w:p w14:paraId="0292E13F" w14:textId="31A4ED49" w:rsidR="00E556DE" w:rsidRPr="000C348F" w:rsidRDefault="00E556DE" w:rsidP="00E556DE">
      <w:pPr>
        <w:tabs>
          <w:tab w:val="left" w:pos="900"/>
        </w:tabs>
        <w:overflowPunct/>
        <w:autoSpaceDE/>
        <w:autoSpaceDN/>
        <w:adjustRightInd/>
        <w:ind w:left="900" w:hanging="540"/>
        <w:jc w:val="both"/>
        <w:textAlignment w:val="auto"/>
        <w:rPr>
          <w:sz w:val="24"/>
          <w:szCs w:val="24"/>
        </w:rPr>
      </w:pPr>
      <w:r w:rsidRPr="000C348F">
        <w:rPr>
          <w:sz w:val="24"/>
          <w:szCs w:val="24"/>
        </w:rPr>
        <w:t>(1)</w:t>
      </w:r>
      <w:r w:rsidRPr="000C348F">
        <w:rPr>
          <w:sz w:val="24"/>
          <w:szCs w:val="24"/>
        </w:rPr>
        <w:tab/>
      </w:r>
      <w:r w:rsidRPr="000C348F">
        <w:rPr>
          <w:i/>
          <w:color w:val="333333"/>
          <w:sz w:val="24"/>
          <w:szCs w:val="24"/>
          <w:shd w:val="clear" w:color="auto" w:fill="FCFCFC"/>
        </w:rPr>
        <w:t>COVID-19</w:t>
      </w:r>
      <w:r w:rsidRPr="000C348F">
        <w:rPr>
          <w:i/>
          <w:iCs/>
          <w:sz w:val="24"/>
          <w:szCs w:val="24"/>
        </w:rPr>
        <w:t xml:space="preserve"> Shutdown</w:t>
      </w:r>
      <w:r w:rsidRPr="000C348F">
        <w:rPr>
          <w:sz w:val="24"/>
          <w:szCs w:val="24"/>
        </w:rPr>
        <w:t xml:space="preserve">.  The employer’s operations were fully or partially suspended due to orders from an appropriate governmental authority limiting commerce, travel, or group meetings (for commercial, social, </w:t>
      </w:r>
      <w:proofErr w:type="gramStart"/>
      <w:r w:rsidRPr="000C348F">
        <w:rPr>
          <w:sz w:val="24"/>
          <w:szCs w:val="24"/>
        </w:rPr>
        <w:t>religious</w:t>
      </w:r>
      <w:proofErr w:type="gramEnd"/>
      <w:r w:rsidRPr="000C348F">
        <w:rPr>
          <w:sz w:val="24"/>
          <w:szCs w:val="24"/>
        </w:rPr>
        <w:t xml:space="preserve"> or other purpose) due to the virus</w:t>
      </w:r>
      <w:r w:rsidR="0061610D">
        <w:rPr>
          <w:sz w:val="24"/>
          <w:szCs w:val="24"/>
        </w:rPr>
        <w:t>;</w:t>
      </w:r>
      <w:r w:rsidRPr="000C348F">
        <w:rPr>
          <w:sz w:val="24"/>
          <w:szCs w:val="24"/>
        </w:rPr>
        <w:t xml:space="preserve"> or  </w:t>
      </w:r>
    </w:p>
    <w:p w14:paraId="11E1A7F6" w14:textId="75574FFF" w:rsidR="00E556DE" w:rsidRPr="000C348F" w:rsidRDefault="00E556DE" w:rsidP="00E556DE">
      <w:pPr>
        <w:tabs>
          <w:tab w:val="left" w:pos="900"/>
        </w:tabs>
        <w:overflowPunct/>
        <w:autoSpaceDE/>
        <w:autoSpaceDN/>
        <w:adjustRightInd/>
        <w:ind w:left="900" w:hanging="540"/>
        <w:jc w:val="both"/>
        <w:textAlignment w:val="auto"/>
        <w:rPr>
          <w:sz w:val="24"/>
          <w:szCs w:val="24"/>
        </w:rPr>
      </w:pPr>
      <w:r w:rsidRPr="000C348F">
        <w:rPr>
          <w:sz w:val="24"/>
          <w:szCs w:val="24"/>
        </w:rPr>
        <w:t xml:space="preserve">(2 </w:t>
      </w:r>
      <w:r w:rsidRPr="000C348F">
        <w:rPr>
          <w:sz w:val="24"/>
          <w:szCs w:val="24"/>
        </w:rPr>
        <w:tab/>
      </w:r>
      <w:r w:rsidRPr="000C348F">
        <w:rPr>
          <w:i/>
          <w:iCs/>
          <w:sz w:val="24"/>
          <w:szCs w:val="24"/>
        </w:rPr>
        <w:t>Gross-Receipts-Decline (GRD)</w:t>
      </w:r>
      <w:r w:rsidRPr="000C348F">
        <w:rPr>
          <w:sz w:val="24"/>
          <w:szCs w:val="24"/>
        </w:rPr>
        <w:t xml:space="preserve">. The employer’s gross receipts declined by more than 50% when compared to the same quarter in the prior year.  Once an employer becomes an “eligible employer” on account of a “significant decline in gross receipts,” the employer remains an eligible employer for any succeeding calendar quarter until the employer’s gross receipts during that calendar quarter are 80% or more than the gross receipts in the comparable calendar quarter in the preceding year. </w:t>
      </w:r>
    </w:p>
    <w:p w14:paraId="18F537E0" w14:textId="77777777" w:rsidR="00E556DE" w:rsidRPr="000C348F" w:rsidRDefault="00E556DE" w:rsidP="00E556DE">
      <w:pPr>
        <w:tabs>
          <w:tab w:val="left" w:pos="900"/>
        </w:tabs>
        <w:overflowPunct/>
        <w:autoSpaceDE/>
        <w:autoSpaceDN/>
        <w:adjustRightInd/>
        <w:ind w:left="900" w:hanging="540"/>
        <w:jc w:val="both"/>
        <w:textAlignment w:val="auto"/>
        <w:rPr>
          <w:sz w:val="24"/>
          <w:szCs w:val="24"/>
        </w:rPr>
      </w:pPr>
    </w:p>
    <w:p w14:paraId="126D45FF" w14:textId="77777777" w:rsidR="00E556DE" w:rsidRPr="000C348F" w:rsidRDefault="00E556DE" w:rsidP="00E556DE">
      <w:pPr>
        <w:overflowPunct/>
        <w:autoSpaceDE/>
        <w:autoSpaceDN/>
        <w:adjustRightInd/>
        <w:jc w:val="both"/>
        <w:textAlignment w:val="auto"/>
        <w:rPr>
          <w:sz w:val="24"/>
        </w:rPr>
      </w:pPr>
      <w:r w:rsidRPr="000C348F">
        <w:rPr>
          <w:sz w:val="24"/>
        </w:rPr>
        <w:t>For tax exempt organizations, only the “fully or partially suspended operations” condition applies to receive the credit.</w:t>
      </w:r>
    </w:p>
    <w:p w14:paraId="05231544" w14:textId="77777777" w:rsidR="00E556DE" w:rsidRPr="00371EE1" w:rsidRDefault="00E556DE" w:rsidP="00E556DE">
      <w:pPr>
        <w:overflowPunct/>
        <w:autoSpaceDE/>
        <w:autoSpaceDN/>
        <w:adjustRightInd/>
        <w:jc w:val="both"/>
        <w:textAlignment w:val="auto"/>
        <w:rPr>
          <w:sz w:val="24"/>
          <w:szCs w:val="24"/>
          <w:highlight w:val="yellow"/>
        </w:rPr>
      </w:pPr>
    </w:p>
    <w:p w14:paraId="2DF38C13" w14:textId="39C617FF" w:rsidR="00E556DE" w:rsidRPr="000C348F" w:rsidRDefault="00E556DE" w:rsidP="00E556DE">
      <w:pPr>
        <w:overflowPunct/>
        <w:autoSpaceDE/>
        <w:autoSpaceDN/>
        <w:adjustRightInd/>
        <w:textAlignment w:val="auto"/>
        <w:rPr>
          <w:sz w:val="24"/>
          <w:szCs w:val="24"/>
        </w:rPr>
      </w:pPr>
      <w:r w:rsidRPr="000C348F">
        <w:rPr>
          <w:b/>
          <w:i/>
          <w:iCs/>
          <w:sz w:val="24"/>
          <w:szCs w:val="24"/>
        </w:rPr>
        <w:t>Amount of Employee Retention Cred</w:t>
      </w:r>
      <w:r w:rsidR="000C348F" w:rsidRPr="000C348F">
        <w:rPr>
          <w:b/>
          <w:i/>
          <w:iCs/>
          <w:sz w:val="24"/>
          <w:szCs w:val="24"/>
        </w:rPr>
        <w:t>it (ERC)</w:t>
      </w:r>
      <w:r w:rsidRPr="000C348F">
        <w:rPr>
          <w:i/>
          <w:iCs/>
          <w:sz w:val="24"/>
          <w:szCs w:val="24"/>
        </w:rPr>
        <w:t xml:space="preserve">.  </w:t>
      </w:r>
      <w:r w:rsidRPr="000C348F">
        <w:rPr>
          <w:sz w:val="24"/>
          <w:szCs w:val="24"/>
        </w:rPr>
        <w:t xml:space="preserve">Eligible employers (e.g., those that shut down or have a significant decline in gross receipts) are allowed a refundable credit against its 6.2% cost of Social Security taxes (IRC </w:t>
      </w:r>
      <w:r w:rsidRPr="000C348F">
        <w:rPr>
          <w:color w:val="333333"/>
          <w:sz w:val="23"/>
          <w:szCs w:val="23"/>
        </w:rPr>
        <w:t>§ 3111(a</w:t>
      </w:r>
      <w:r w:rsidRPr="000C348F">
        <w:rPr>
          <w:rFonts w:ascii="Arial" w:hAnsi="Arial" w:cs="Arial"/>
          <w:color w:val="333333"/>
          <w:sz w:val="23"/>
          <w:szCs w:val="23"/>
        </w:rPr>
        <w:t>)</w:t>
      </w:r>
      <w:r w:rsidRPr="000C348F">
        <w:rPr>
          <w:sz w:val="24"/>
          <w:szCs w:val="24"/>
        </w:rPr>
        <w:t xml:space="preserve">.  The amount of the credit is equal to </w:t>
      </w:r>
      <w:r w:rsidRPr="000C348F">
        <w:rPr>
          <w:sz w:val="24"/>
          <w:szCs w:val="24"/>
        </w:rPr>
        <w:br/>
      </w:r>
      <w:r w:rsidRPr="000C348F">
        <w:rPr>
          <w:b/>
          <w:bCs/>
          <w:sz w:val="24"/>
          <w:szCs w:val="24"/>
        </w:rPr>
        <w:t>50% of</w:t>
      </w:r>
      <w:r w:rsidRPr="000C348F">
        <w:rPr>
          <w:sz w:val="24"/>
          <w:szCs w:val="24"/>
        </w:rPr>
        <w:t xml:space="preserve"> </w:t>
      </w:r>
      <w:r w:rsidRPr="000C348F">
        <w:rPr>
          <w:b/>
          <w:bCs/>
          <w:i/>
          <w:iCs/>
          <w:sz w:val="24"/>
          <w:szCs w:val="24"/>
        </w:rPr>
        <w:t>qualified</w:t>
      </w:r>
      <w:r w:rsidRPr="000C348F">
        <w:rPr>
          <w:b/>
          <w:bCs/>
          <w:sz w:val="24"/>
          <w:szCs w:val="24"/>
        </w:rPr>
        <w:t xml:space="preserve"> </w:t>
      </w:r>
      <w:r w:rsidRPr="000C348F">
        <w:rPr>
          <w:b/>
          <w:bCs/>
          <w:i/>
          <w:iCs/>
          <w:sz w:val="24"/>
          <w:szCs w:val="24"/>
        </w:rPr>
        <w:t>wages</w:t>
      </w:r>
      <w:r w:rsidRPr="000C348F">
        <w:rPr>
          <w:sz w:val="24"/>
          <w:szCs w:val="24"/>
        </w:rPr>
        <w:t xml:space="preserve"> </w:t>
      </w:r>
      <w:r w:rsidRPr="000C348F">
        <w:rPr>
          <w:b/>
          <w:bCs/>
          <w:sz w:val="24"/>
          <w:szCs w:val="24"/>
        </w:rPr>
        <w:t>up to $10,000 of wages</w:t>
      </w:r>
      <w:r w:rsidRPr="000C348F">
        <w:rPr>
          <w:sz w:val="24"/>
          <w:szCs w:val="24"/>
        </w:rPr>
        <w:t xml:space="preserve"> or a </w:t>
      </w:r>
      <w:r w:rsidRPr="000C348F">
        <w:rPr>
          <w:b/>
          <w:sz w:val="24"/>
          <w:szCs w:val="24"/>
        </w:rPr>
        <w:t xml:space="preserve">maximum credit of $5,000 </w:t>
      </w:r>
      <w:r w:rsidRPr="000C348F">
        <w:rPr>
          <w:b/>
          <w:i/>
          <w:iCs/>
          <w:sz w:val="24"/>
          <w:szCs w:val="24"/>
        </w:rPr>
        <w:t>per employee</w:t>
      </w:r>
      <w:r w:rsidRPr="000C348F">
        <w:rPr>
          <w:b/>
          <w:sz w:val="24"/>
          <w:szCs w:val="24"/>
        </w:rPr>
        <w:t xml:space="preserve"> </w:t>
      </w:r>
      <w:r w:rsidRPr="000C348F">
        <w:rPr>
          <w:sz w:val="24"/>
          <w:szCs w:val="24"/>
        </w:rPr>
        <w:t xml:space="preserve">(50% x qualified wages of $10,000).  Assuming the employer qualifies for a full year of the credit, the employer has a full credit against employee wages for employees whose total wages are equal to or less </w:t>
      </w:r>
      <w:r w:rsidR="0061610D">
        <w:rPr>
          <w:sz w:val="24"/>
          <w:szCs w:val="24"/>
        </w:rPr>
        <w:t>than</w:t>
      </w:r>
      <w:r w:rsidRPr="000C348F">
        <w:rPr>
          <w:sz w:val="24"/>
          <w:szCs w:val="24"/>
        </w:rPr>
        <w:t xml:space="preserve"> $80,645.16 ($5,000/6.2%).  The credit is computed based on qualified wages paid or incurred for each employee between March 13, 2020, and December 31, 2020.  The fact that the employee may have been dismissed or furloughed is ignored.</w:t>
      </w:r>
      <w:r w:rsidR="00A54A8B">
        <w:rPr>
          <w:sz w:val="24"/>
          <w:szCs w:val="24"/>
        </w:rPr>
        <w:t xml:space="preserve"> </w:t>
      </w:r>
      <w:r w:rsidRPr="000C348F">
        <w:rPr>
          <w:sz w:val="24"/>
          <w:szCs w:val="24"/>
        </w:rPr>
        <w:t xml:space="preserve"> The </w:t>
      </w:r>
      <w:proofErr w:type="gramStart"/>
      <w:r w:rsidRPr="000C348F">
        <w:rPr>
          <w:sz w:val="24"/>
          <w:szCs w:val="24"/>
        </w:rPr>
        <w:t>amount</w:t>
      </w:r>
      <w:proofErr w:type="gramEnd"/>
      <w:r w:rsidRPr="000C348F">
        <w:rPr>
          <w:sz w:val="24"/>
          <w:szCs w:val="24"/>
        </w:rPr>
        <w:t xml:space="preserve"> of qualified wages taken into account for this purpose differs depending on whether the employer had more than 100 employees.</w:t>
      </w:r>
      <w:r w:rsidR="00A54A8B">
        <w:rPr>
          <w:sz w:val="24"/>
          <w:szCs w:val="24"/>
        </w:rPr>
        <w:t xml:space="preserve">  </w:t>
      </w:r>
      <w:r w:rsidR="00A54A8B" w:rsidRPr="00A54A8B">
        <w:rPr>
          <w:sz w:val="24"/>
          <w:szCs w:val="24"/>
        </w:rPr>
        <w:t>ARPA codified the ERC in § 3134 and extended it through 2021.  It also increased the credit from $5,000 to $28,000 in 2021.</w:t>
      </w:r>
    </w:p>
    <w:p w14:paraId="17FB21EF" w14:textId="33369AE6" w:rsidR="00E556DE" w:rsidRPr="00A54A8B" w:rsidRDefault="0025269A" w:rsidP="00E556DE">
      <w:pPr>
        <w:overflowPunct/>
        <w:autoSpaceDE/>
        <w:autoSpaceDN/>
        <w:adjustRightInd/>
        <w:jc w:val="both"/>
        <w:textAlignment w:val="auto"/>
        <w:rPr>
          <w:sz w:val="24"/>
          <w:szCs w:val="24"/>
        </w:rPr>
      </w:pPr>
      <w:r w:rsidRPr="00A54A8B">
        <w:rPr>
          <w:i/>
          <w:iCs/>
          <w:sz w:val="24"/>
          <w:szCs w:val="24"/>
        </w:rPr>
        <w:tab/>
      </w:r>
      <w:r w:rsidR="00E556DE" w:rsidRPr="00A54A8B">
        <w:rPr>
          <w:i/>
          <w:iCs/>
          <w:sz w:val="24"/>
          <w:szCs w:val="24"/>
        </w:rPr>
        <w:t xml:space="preserve">Qualified Wages: More than 100 Employees.  </w:t>
      </w:r>
      <w:r w:rsidR="00E556DE" w:rsidRPr="00A54A8B">
        <w:rPr>
          <w:sz w:val="24"/>
          <w:szCs w:val="24"/>
        </w:rPr>
        <w:t xml:space="preserve">In computing qualified wages, special rules apply if the business had an average of more than 100 full-time employees during 2019.  First, qualified wages include </w:t>
      </w:r>
      <w:r w:rsidR="00E556DE" w:rsidRPr="00A54A8B">
        <w:rPr>
          <w:i/>
          <w:iCs/>
          <w:sz w:val="24"/>
          <w:szCs w:val="24"/>
        </w:rPr>
        <w:t>only</w:t>
      </w:r>
      <w:r w:rsidR="00E556DE" w:rsidRPr="00A54A8B">
        <w:rPr>
          <w:sz w:val="24"/>
          <w:szCs w:val="24"/>
        </w:rPr>
        <w:t xml:space="preserve"> the wages of employees “who are furloughed or face reduced hours as a result of their employers' closure or reduced gross receipts.”  Second, wages are qualified only if they were paid by the employer during the quarter for the period the business was shut down and the employees were not working due to COVID-19. (Act § 2301)</w:t>
      </w:r>
    </w:p>
    <w:p w14:paraId="0D49D113" w14:textId="50E14724" w:rsidR="00E556DE" w:rsidRPr="00A54A8B" w:rsidRDefault="0025269A" w:rsidP="00E556DE">
      <w:pPr>
        <w:overflowPunct/>
        <w:autoSpaceDE/>
        <w:autoSpaceDN/>
        <w:adjustRightInd/>
        <w:jc w:val="both"/>
        <w:textAlignment w:val="auto"/>
        <w:rPr>
          <w:sz w:val="24"/>
          <w:szCs w:val="24"/>
        </w:rPr>
      </w:pPr>
      <w:r w:rsidRPr="00A54A8B">
        <w:rPr>
          <w:i/>
          <w:iCs/>
          <w:sz w:val="24"/>
          <w:szCs w:val="24"/>
        </w:rPr>
        <w:tab/>
      </w:r>
      <w:r w:rsidR="00E556DE" w:rsidRPr="00A54A8B">
        <w:rPr>
          <w:i/>
          <w:iCs/>
          <w:sz w:val="24"/>
          <w:szCs w:val="24"/>
        </w:rPr>
        <w:t xml:space="preserve">Qualified Wages: No More than 100 Employees.  </w:t>
      </w:r>
      <w:r w:rsidR="00E556DE" w:rsidRPr="00A54A8B">
        <w:rPr>
          <w:sz w:val="24"/>
          <w:szCs w:val="24"/>
        </w:rPr>
        <w:t xml:space="preserve">If the business had no more than 100 employees (100 or less) for 2019, the credit is calculated on all qualified wages paid after March 12, 2020.  Qualified wages include (1) wages paid to employees during a shut-down and (2) wages paid for each quarter that the business suffered a sharp decline in year-over-year receipts, as described above (see </w:t>
      </w:r>
      <w:r w:rsidR="00E556DE" w:rsidRPr="00A54A8B">
        <w:rPr>
          <w:i/>
          <w:iCs/>
          <w:sz w:val="24"/>
          <w:szCs w:val="24"/>
        </w:rPr>
        <w:t>gross receipts decline)</w:t>
      </w:r>
      <w:r w:rsidR="00E556DE" w:rsidRPr="00A54A8B">
        <w:rPr>
          <w:sz w:val="24"/>
          <w:szCs w:val="24"/>
        </w:rPr>
        <w:t>.</w:t>
      </w:r>
    </w:p>
    <w:p w14:paraId="1C77C827" w14:textId="6D7304E5" w:rsidR="00E556DE" w:rsidRPr="00A54A8B" w:rsidRDefault="0025269A" w:rsidP="00E556DE">
      <w:pPr>
        <w:overflowPunct/>
        <w:autoSpaceDE/>
        <w:autoSpaceDN/>
        <w:adjustRightInd/>
        <w:jc w:val="both"/>
        <w:textAlignment w:val="auto"/>
        <w:rPr>
          <w:sz w:val="24"/>
          <w:szCs w:val="24"/>
        </w:rPr>
      </w:pPr>
      <w:r w:rsidRPr="00A54A8B">
        <w:rPr>
          <w:sz w:val="24"/>
          <w:szCs w:val="24"/>
        </w:rPr>
        <w:tab/>
      </w:r>
      <w:r w:rsidR="00E556DE" w:rsidRPr="00A54A8B">
        <w:rPr>
          <w:sz w:val="24"/>
          <w:szCs w:val="24"/>
        </w:rPr>
        <w:t xml:space="preserve">In computing the </w:t>
      </w:r>
      <w:proofErr w:type="gramStart"/>
      <w:r w:rsidR="00E556DE" w:rsidRPr="00A54A8B">
        <w:rPr>
          <w:sz w:val="24"/>
          <w:szCs w:val="24"/>
        </w:rPr>
        <w:t>amount</w:t>
      </w:r>
      <w:proofErr w:type="gramEnd"/>
      <w:r w:rsidR="00E556DE" w:rsidRPr="00A54A8B">
        <w:rPr>
          <w:sz w:val="24"/>
          <w:szCs w:val="24"/>
        </w:rPr>
        <w:t xml:space="preserve"> of qualified wages in both situations, qualified wages include any “qualified health plan expenses” allocable to the wages, such as amounts paid to maintain a group health plan. In either case, however, the </w:t>
      </w:r>
      <w:proofErr w:type="gramStart"/>
      <w:r w:rsidR="00E556DE" w:rsidRPr="00A54A8B">
        <w:rPr>
          <w:sz w:val="24"/>
          <w:szCs w:val="24"/>
        </w:rPr>
        <w:t>amount</w:t>
      </w:r>
      <w:proofErr w:type="gramEnd"/>
      <w:r w:rsidR="00E556DE" w:rsidRPr="00A54A8B">
        <w:rPr>
          <w:sz w:val="24"/>
          <w:szCs w:val="24"/>
        </w:rPr>
        <w:t xml:space="preserve"> of qualified wages for each employee for all quarters may not exceed $10,000.</w:t>
      </w:r>
    </w:p>
    <w:p w14:paraId="3A464879" w14:textId="77777777" w:rsidR="00E556DE" w:rsidRPr="00A54A8B" w:rsidRDefault="00E556DE" w:rsidP="00E556DE">
      <w:pPr>
        <w:overflowPunct/>
        <w:autoSpaceDE/>
        <w:autoSpaceDN/>
        <w:adjustRightInd/>
        <w:jc w:val="both"/>
        <w:textAlignment w:val="auto"/>
        <w:rPr>
          <w:sz w:val="24"/>
        </w:rPr>
      </w:pPr>
      <w:r w:rsidRPr="00A54A8B">
        <w:rPr>
          <w:sz w:val="24"/>
        </w:rPr>
        <w:t>The retention credit is subject to numerous rules to prevent double-dipping.</w:t>
      </w:r>
    </w:p>
    <w:p w14:paraId="35572EA9" w14:textId="77777777" w:rsidR="00E556DE" w:rsidRPr="00A54A8B" w:rsidRDefault="00E556DE" w:rsidP="00E556DE">
      <w:pPr>
        <w:numPr>
          <w:ilvl w:val="0"/>
          <w:numId w:val="19"/>
        </w:numPr>
        <w:overflowPunct/>
        <w:autoSpaceDE/>
        <w:autoSpaceDN/>
        <w:adjustRightInd/>
        <w:ind w:left="360"/>
        <w:contextualSpacing/>
        <w:jc w:val="both"/>
        <w:textAlignment w:val="auto"/>
        <w:rPr>
          <w:sz w:val="24"/>
        </w:rPr>
      </w:pPr>
      <w:r w:rsidRPr="00A54A8B">
        <w:rPr>
          <w:sz w:val="24"/>
        </w:rPr>
        <w:t>An employer's deduction for wages must be reduced by the amount of any retention credit.</w:t>
      </w:r>
    </w:p>
    <w:p w14:paraId="6CA5E807" w14:textId="77777777" w:rsidR="00E556DE" w:rsidRPr="00A54A8B" w:rsidRDefault="00E556DE" w:rsidP="00E556DE">
      <w:pPr>
        <w:numPr>
          <w:ilvl w:val="0"/>
          <w:numId w:val="19"/>
        </w:numPr>
        <w:overflowPunct/>
        <w:autoSpaceDE/>
        <w:autoSpaceDN/>
        <w:adjustRightInd/>
        <w:ind w:left="360"/>
        <w:contextualSpacing/>
        <w:jc w:val="both"/>
        <w:textAlignment w:val="auto"/>
        <w:rPr>
          <w:sz w:val="24"/>
        </w:rPr>
      </w:pPr>
      <w:r w:rsidRPr="00A54A8B">
        <w:rPr>
          <w:sz w:val="24"/>
        </w:rPr>
        <w:t xml:space="preserve">An employer may not </w:t>
      </w:r>
      <w:proofErr w:type="gramStart"/>
      <w:r w:rsidRPr="00A54A8B">
        <w:rPr>
          <w:sz w:val="24"/>
        </w:rPr>
        <w:t>take into account</w:t>
      </w:r>
      <w:proofErr w:type="gramEnd"/>
      <w:r w:rsidRPr="00A54A8B">
        <w:rPr>
          <w:sz w:val="24"/>
        </w:rPr>
        <w:t xml:space="preserve"> the following wages:</w:t>
      </w:r>
    </w:p>
    <w:p w14:paraId="33C33E31" w14:textId="77777777" w:rsidR="00E556DE" w:rsidRPr="00A54A8B" w:rsidRDefault="00E556DE" w:rsidP="00E556DE">
      <w:pPr>
        <w:numPr>
          <w:ilvl w:val="1"/>
          <w:numId w:val="19"/>
        </w:numPr>
        <w:overflowPunct/>
        <w:autoSpaceDE/>
        <w:autoSpaceDN/>
        <w:adjustRightInd/>
        <w:ind w:left="630" w:hanging="270"/>
        <w:contextualSpacing/>
        <w:jc w:val="both"/>
        <w:textAlignment w:val="auto"/>
        <w:rPr>
          <w:sz w:val="24"/>
        </w:rPr>
      </w:pPr>
      <w:r w:rsidRPr="00A54A8B">
        <w:rPr>
          <w:sz w:val="24"/>
        </w:rPr>
        <w:t>Wages of an employee for whom a work opportunity tax credit is claimed.</w:t>
      </w:r>
    </w:p>
    <w:p w14:paraId="6435BC22" w14:textId="77777777" w:rsidR="00E556DE" w:rsidRPr="00A54A8B" w:rsidRDefault="00E556DE" w:rsidP="00E556DE">
      <w:pPr>
        <w:numPr>
          <w:ilvl w:val="1"/>
          <w:numId w:val="19"/>
        </w:numPr>
        <w:overflowPunct/>
        <w:autoSpaceDE/>
        <w:autoSpaceDN/>
        <w:adjustRightInd/>
        <w:ind w:left="630" w:hanging="270"/>
        <w:contextualSpacing/>
        <w:jc w:val="both"/>
        <w:textAlignment w:val="auto"/>
        <w:rPr>
          <w:sz w:val="24"/>
        </w:rPr>
      </w:pPr>
      <w:r w:rsidRPr="00A54A8B">
        <w:rPr>
          <w:sz w:val="24"/>
        </w:rPr>
        <w:lastRenderedPageBreak/>
        <w:t xml:space="preserve">Wages </w:t>
      </w:r>
      <w:proofErr w:type="gramStart"/>
      <w:r w:rsidRPr="00A54A8B">
        <w:rPr>
          <w:sz w:val="24"/>
        </w:rPr>
        <w:t>taken into account</w:t>
      </w:r>
      <w:proofErr w:type="gramEnd"/>
      <w:r w:rsidRPr="00A54A8B">
        <w:rPr>
          <w:sz w:val="24"/>
        </w:rPr>
        <w:t xml:space="preserve"> under § 45S (income tax credit for paid family and medical leave).</w:t>
      </w:r>
    </w:p>
    <w:p w14:paraId="7C7F587D" w14:textId="77777777" w:rsidR="00E556DE" w:rsidRPr="00A54A8B" w:rsidRDefault="00E556DE" w:rsidP="00E556DE">
      <w:pPr>
        <w:numPr>
          <w:ilvl w:val="1"/>
          <w:numId w:val="19"/>
        </w:numPr>
        <w:overflowPunct/>
        <w:autoSpaceDE/>
        <w:autoSpaceDN/>
        <w:adjustRightInd/>
        <w:ind w:left="630" w:hanging="270"/>
        <w:contextualSpacing/>
        <w:jc w:val="both"/>
        <w:textAlignment w:val="auto"/>
        <w:rPr>
          <w:sz w:val="24"/>
        </w:rPr>
      </w:pPr>
      <w:r w:rsidRPr="00A54A8B">
        <w:rPr>
          <w:sz w:val="24"/>
        </w:rPr>
        <w:t xml:space="preserve">Wages </w:t>
      </w:r>
      <w:proofErr w:type="gramStart"/>
      <w:r w:rsidRPr="00A54A8B">
        <w:rPr>
          <w:sz w:val="24"/>
        </w:rPr>
        <w:t>taken into account</w:t>
      </w:r>
      <w:proofErr w:type="gramEnd"/>
      <w:r w:rsidRPr="00A54A8B">
        <w:rPr>
          <w:sz w:val="24"/>
        </w:rPr>
        <w:t xml:space="preserve"> under §§ 7001 and 7003 of the Families First Act, which provides payroll tax credits for paid leave required to be provided by small employers.</w:t>
      </w:r>
    </w:p>
    <w:p w14:paraId="3C72A214" w14:textId="77777777" w:rsidR="00E556DE" w:rsidRPr="00A54A8B" w:rsidRDefault="00E556DE" w:rsidP="00E556DE">
      <w:pPr>
        <w:numPr>
          <w:ilvl w:val="1"/>
          <w:numId w:val="19"/>
        </w:numPr>
        <w:overflowPunct/>
        <w:autoSpaceDE/>
        <w:autoSpaceDN/>
        <w:adjustRightInd/>
        <w:ind w:left="630" w:hanging="270"/>
        <w:contextualSpacing/>
        <w:jc w:val="both"/>
        <w:textAlignment w:val="auto"/>
        <w:rPr>
          <w:sz w:val="24"/>
        </w:rPr>
      </w:pPr>
      <w:r w:rsidRPr="00A54A8B">
        <w:rPr>
          <w:sz w:val="24"/>
        </w:rPr>
        <w:t>Wages paid to certain related individuals specified in § 51(i)(1)</w:t>
      </w:r>
    </w:p>
    <w:p w14:paraId="74F486DD" w14:textId="77777777" w:rsidR="00E203B3" w:rsidRPr="00A54A8B" w:rsidRDefault="00E203B3" w:rsidP="00E556DE">
      <w:pPr>
        <w:overflowPunct/>
        <w:autoSpaceDE/>
        <w:autoSpaceDN/>
        <w:adjustRightInd/>
        <w:jc w:val="both"/>
        <w:textAlignment w:val="auto"/>
        <w:rPr>
          <w:sz w:val="24"/>
        </w:rPr>
      </w:pPr>
    </w:p>
    <w:p w14:paraId="41479199" w14:textId="77777777" w:rsidR="00E556DE" w:rsidRPr="00A54A8B" w:rsidRDefault="00E556DE" w:rsidP="00E556DE">
      <w:pPr>
        <w:overflowPunct/>
        <w:autoSpaceDE/>
        <w:autoSpaceDN/>
        <w:adjustRightInd/>
        <w:jc w:val="both"/>
        <w:textAlignment w:val="auto"/>
        <w:rPr>
          <w:sz w:val="24"/>
        </w:rPr>
      </w:pPr>
      <w:r w:rsidRPr="00A54A8B">
        <w:rPr>
          <w:sz w:val="24"/>
        </w:rPr>
        <w:t>The retention credit requires an analysis of how a business has been affected by COVID-19 and if the COVID-19 shutdown or the gross-receipts-decline (GRD) tests have been met. The shutdown test requires that a business has been fully or partially suspended due to government action.  If the business does not meet the GRD test, it may be unclear whether a business’ operations has been partially suspended. The GRD test also presents unique challenges.  For example, employers must analyze gross receipts across all aggregated entities rather than by location (a change from rules associated with prior employee retention credits related to natural disasters).</w:t>
      </w:r>
    </w:p>
    <w:p w14:paraId="71A9801B" w14:textId="77777777" w:rsidR="00E556DE" w:rsidRPr="00A54A8B" w:rsidRDefault="00E556DE" w:rsidP="00E556DE">
      <w:pPr>
        <w:overflowPunct/>
        <w:autoSpaceDE/>
        <w:autoSpaceDN/>
        <w:adjustRightInd/>
        <w:jc w:val="both"/>
        <w:textAlignment w:val="auto"/>
        <w:rPr>
          <w:sz w:val="24"/>
        </w:rPr>
      </w:pPr>
    </w:p>
    <w:p w14:paraId="0EA490BC" w14:textId="77777777" w:rsidR="00E556DE" w:rsidRPr="00A54A8B" w:rsidRDefault="00E556DE" w:rsidP="00E556DE">
      <w:pPr>
        <w:overflowPunct/>
        <w:autoSpaceDE/>
        <w:autoSpaceDN/>
        <w:adjustRightInd/>
        <w:jc w:val="both"/>
        <w:textAlignment w:val="auto"/>
        <w:rPr>
          <w:sz w:val="24"/>
        </w:rPr>
      </w:pPr>
      <w:r w:rsidRPr="00A54A8B">
        <w:rPr>
          <w:sz w:val="24"/>
        </w:rPr>
        <w:t xml:space="preserve">The CARES Act requires employers to make a choice: obtain a PPP loan that is potentially forgivable or take the retention credit.  </w:t>
      </w:r>
      <w:proofErr w:type="gramStart"/>
      <w:r w:rsidRPr="00A54A8B">
        <w:rPr>
          <w:sz w:val="24"/>
        </w:rPr>
        <w:t>In making the choice, there</w:t>
      </w:r>
      <w:proofErr w:type="gramEnd"/>
      <w:r w:rsidRPr="00A54A8B">
        <w:rPr>
          <w:sz w:val="24"/>
        </w:rPr>
        <w:t xml:space="preserve"> are two aspects of retention credit that deserve special consideration.  First, the retention credit may substantially reduce or eliminate the FICA tax.  Second, any tax that is due can be postponed to 2021 and 2022 (recall discussion for page 1-22 of this supplement concerning when 2020 payroll taxes are due: 50% due on December 31, 2021, and the other half due on December 31, 2022).   </w:t>
      </w:r>
    </w:p>
    <w:p w14:paraId="5A5138C3" w14:textId="77777777" w:rsidR="00E556DE" w:rsidRPr="00A54A8B" w:rsidRDefault="00E556DE" w:rsidP="00E556DE">
      <w:pPr>
        <w:overflowPunct/>
        <w:textAlignment w:val="auto"/>
        <w:rPr>
          <w:b/>
          <w:bCs/>
          <w:sz w:val="24"/>
        </w:rPr>
      </w:pPr>
    </w:p>
    <w:p w14:paraId="78FB8114" w14:textId="5EA86DFE" w:rsidR="00E556DE" w:rsidRPr="00A54A8B" w:rsidRDefault="00E556DE" w:rsidP="00E556DE">
      <w:pPr>
        <w:overflowPunct/>
        <w:textAlignment w:val="auto"/>
        <w:rPr>
          <w:sz w:val="24"/>
        </w:rPr>
      </w:pPr>
      <w:r w:rsidRPr="00A54A8B">
        <w:rPr>
          <w:b/>
          <w:bCs/>
          <w:sz w:val="24"/>
        </w:rPr>
        <w:t xml:space="preserve">Example </w:t>
      </w:r>
      <w:r w:rsidR="004D22F0" w:rsidRPr="00A54A8B">
        <w:rPr>
          <w:b/>
          <w:bCs/>
          <w:sz w:val="24"/>
        </w:rPr>
        <w:t>12</w:t>
      </w:r>
      <w:r w:rsidRPr="00A54A8B">
        <w:rPr>
          <w:b/>
          <w:bCs/>
          <w:sz w:val="24"/>
        </w:rPr>
        <w:t xml:space="preserve">. </w:t>
      </w:r>
      <w:r w:rsidRPr="00A54A8B">
        <w:rPr>
          <w:sz w:val="24"/>
        </w:rPr>
        <w:t xml:space="preserve"> Alan Smith, CPA, conducts CPE workshops.  He is the sole owner and employee of his own S corporation.  This year he had to “partially suspend operations” due to the government-imposed restrictions on group meetings for May and </w:t>
      </w:r>
      <w:proofErr w:type="gramStart"/>
      <w:r w:rsidRPr="00A54A8B">
        <w:rPr>
          <w:sz w:val="24"/>
        </w:rPr>
        <w:t>June,</w:t>
      </w:r>
      <w:proofErr w:type="gramEnd"/>
      <w:r w:rsidRPr="00A54A8B">
        <w:rPr>
          <w:sz w:val="24"/>
        </w:rPr>
        <w:t xml:space="preserve"> 2020.  This year the corporation paid him $80,645.16 in wages. </w:t>
      </w:r>
      <w:r w:rsidR="0010326F" w:rsidRPr="00A54A8B">
        <w:rPr>
          <w:sz w:val="24"/>
        </w:rPr>
        <w:t xml:space="preserve"> </w:t>
      </w:r>
      <w:r w:rsidRPr="00A54A8B">
        <w:rPr>
          <w:sz w:val="24"/>
        </w:rPr>
        <w:t>Note that the FICA taxes paid exactly equal</w:t>
      </w:r>
      <w:r w:rsidR="0010326F" w:rsidRPr="00A54A8B">
        <w:rPr>
          <w:sz w:val="24"/>
        </w:rPr>
        <w:t xml:space="preserve"> the</w:t>
      </w:r>
      <w:r w:rsidRPr="00A54A8B">
        <w:rPr>
          <w:sz w:val="24"/>
        </w:rPr>
        <w:t xml:space="preserve"> maximum allowable credit of $5,000 (i.e., 6.2% x $80,645.16 salary = $5,000).  The taxpayer must determine whether he should seek a PPP loan or claim the retention credit of $5,000.</w:t>
      </w:r>
    </w:p>
    <w:p w14:paraId="6393E036" w14:textId="77777777" w:rsidR="00E556DE" w:rsidRPr="00A54A8B" w:rsidRDefault="00E556DE" w:rsidP="00E556DE">
      <w:pPr>
        <w:overflowPunct/>
        <w:textAlignment w:val="auto"/>
        <w:rPr>
          <w:sz w:val="24"/>
        </w:rPr>
      </w:pPr>
      <w:r w:rsidRPr="00A54A8B">
        <w:rPr>
          <w:sz w:val="24"/>
        </w:rPr>
        <w:tab/>
      </w:r>
      <w:r w:rsidRPr="00A54A8B">
        <w:rPr>
          <w:sz w:val="24"/>
          <w:szCs w:val="24"/>
        </w:rPr>
        <w:t xml:space="preserve">The taxpayer computes his retention credit under the rule for businesses with no more than 100 employees.  Therefore, qualified wages include not only those paid to employees during a shut-down, but also wages paid for each quarter that the business suffered a sharp decline in year-over-year receipts.  In this case, the business was shut down, so the wages are qualified.  Thus, the credit is $5,000 (50% x qualified wages up to $10,000 of wages per employee or $5,000). </w:t>
      </w:r>
      <w:r w:rsidRPr="00A54A8B">
        <w:rPr>
          <w:sz w:val="24"/>
        </w:rPr>
        <w:t xml:space="preserve"> Here, the retention credit of $5,000 is exactly equal to the FICA tax that must be paid and, consequently, would eliminate the expense. </w:t>
      </w:r>
    </w:p>
    <w:p w14:paraId="3B0D72E0" w14:textId="77777777" w:rsidR="00E556DE" w:rsidRPr="00A54A8B" w:rsidRDefault="00E556DE" w:rsidP="00E556DE">
      <w:pPr>
        <w:overflowPunct/>
        <w:textAlignment w:val="auto"/>
        <w:rPr>
          <w:sz w:val="24"/>
        </w:rPr>
      </w:pPr>
      <w:r w:rsidRPr="00A54A8B">
        <w:rPr>
          <w:sz w:val="24"/>
        </w:rPr>
        <w:tab/>
        <w:t xml:space="preserve">The tax savings increases the company’s profits by a corresponding $5,000. Assuming that the taxpayer is the sole owner and employee of this S corporation and faces a marginal tax rate of 20% for federal income taxes and 5% for state income taxes, this $5,000 of additional profit flowing through on the K-1 would result in an increase of after-tax income of $3,750 (i.e., $5,000 – [(20% + 5% = 25%) x $5,000 =$1,250 in applicable income taxes]).  </w:t>
      </w:r>
    </w:p>
    <w:p w14:paraId="0DFCCD80" w14:textId="437E63DC" w:rsidR="00E556DE" w:rsidRPr="00A54A8B" w:rsidRDefault="00E556DE" w:rsidP="00E556DE">
      <w:pPr>
        <w:overflowPunct/>
        <w:textAlignment w:val="auto"/>
        <w:rPr>
          <w:sz w:val="24"/>
        </w:rPr>
      </w:pPr>
      <w:r w:rsidRPr="00A54A8B">
        <w:rPr>
          <w:sz w:val="24"/>
        </w:rPr>
        <w:tab/>
        <w:t>The taxpayer must determine whether he should obtain a forgivable PPP loan or claim the credit that puts $3,750 in his pocket after tax.  Recall that the PPP loan helps cover payroll costs (wages up to $100,000 per employee, employee benefits, and state and local taxes).  Employers can also use some of the funds (25%) to cover interest on mortgages, rent, and utilities.  If the taxpayer got a PPP loan and uses it to pay the wages, he would not be required to repay the loan.  In this situation, it appears that the taxpayer would be better off by seeking a PPP loan.</w:t>
      </w:r>
    </w:p>
    <w:p w14:paraId="62C9CCE1" w14:textId="5ABD539B" w:rsidR="00BF508B" w:rsidRDefault="00BF508B" w:rsidP="00E556DE">
      <w:pPr>
        <w:overflowPunct/>
        <w:textAlignment w:val="auto"/>
        <w:rPr>
          <w:sz w:val="24"/>
          <w:highlight w:val="yellow"/>
        </w:rPr>
      </w:pPr>
    </w:p>
    <w:p w14:paraId="2C3D4544" w14:textId="45970104" w:rsidR="006112E3" w:rsidRDefault="006112E3" w:rsidP="00E556DE">
      <w:pPr>
        <w:overflowPunct/>
        <w:textAlignment w:val="auto"/>
        <w:rPr>
          <w:sz w:val="24"/>
          <w:highlight w:val="yellow"/>
        </w:rPr>
      </w:pPr>
    </w:p>
    <w:p w14:paraId="4D0EE2F3" w14:textId="4F255EB7" w:rsidR="006112E3" w:rsidRDefault="006112E3" w:rsidP="00E556DE">
      <w:pPr>
        <w:overflowPunct/>
        <w:textAlignment w:val="auto"/>
        <w:rPr>
          <w:sz w:val="24"/>
          <w:highlight w:val="yellow"/>
        </w:rPr>
      </w:pPr>
    </w:p>
    <w:p w14:paraId="67AF7589" w14:textId="77777777" w:rsidR="006112E3" w:rsidRDefault="006112E3" w:rsidP="00E556DE">
      <w:pPr>
        <w:overflowPunct/>
        <w:textAlignment w:val="auto"/>
        <w:rPr>
          <w:sz w:val="24"/>
          <w:highlight w:val="yellow"/>
        </w:rPr>
      </w:pPr>
    </w:p>
    <w:p w14:paraId="1FD1F398" w14:textId="03E13D30" w:rsidR="00BA6526" w:rsidRPr="00BA6526" w:rsidRDefault="00BA6526" w:rsidP="00E556DE">
      <w:pPr>
        <w:overflowPunct/>
        <w:textAlignment w:val="auto"/>
        <w:rPr>
          <w:b/>
          <w:bCs/>
          <w:sz w:val="24"/>
        </w:rPr>
      </w:pPr>
      <w:r w:rsidRPr="00BA6526">
        <w:rPr>
          <w:b/>
          <w:bCs/>
          <w:sz w:val="24"/>
        </w:rPr>
        <w:lastRenderedPageBreak/>
        <w:t>Page 1-40</w:t>
      </w:r>
    </w:p>
    <w:p w14:paraId="72F51780" w14:textId="3F938B20" w:rsidR="00BA6526" w:rsidRDefault="00BA6526" w:rsidP="00E556DE">
      <w:pPr>
        <w:overflowPunct/>
        <w:textAlignment w:val="auto"/>
        <w:rPr>
          <w:b/>
          <w:bCs/>
          <w:sz w:val="24"/>
          <w:highlight w:val="yellow"/>
        </w:rPr>
      </w:pPr>
    </w:p>
    <w:p w14:paraId="62CB8487" w14:textId="77777777" w:rsidR="00BA6526" w:rsidRDefault="00BA6526" w:rsidP="00BA6526">
      <w:pPr>
        <w:overflowPunct/>
        <w:textAlignment w:val="auto"/>
        <w:rPr>
          <w:b/>
          <w:bCs/>
          <w:sz w:val="24"/>
        </w:rPr>
      </w:pPr>
      <w:r>
        <w:rPr>
          <w:b/>
          <w:bCs/>
          <w:sz w:val="24"/>
        </w:rPr>
        <w:t>Filing Requirements</w:t>
      </w:r>
    </w:p>
    <w:p w14:paraId="321561FA" w14:textId="77777777" w:rsidR="00BA6526" w:rsidRDefault="00BA6526" w:rsidP="00BA6526">
      <w:pPr>
        <w:overflowPunct/>
        <w:textAlignment w:val="auto"/>
        <w:rPr>
          <w:b/>
          <w:bCs/>
          <w:sz w:val="24"/>
        </w:rPr>
      </w:pPr>
    </w:p>
    <w:p w14:paraId="2D6C639F" w14:textId="13C3E39E" w:rsidR="00BA6526" w:rsidRPr="00BA6526" w:rsidRDefault="00BA6526" w:rsidP="00BA6526">
      <w:pPr>
        <w:overflowPunct/>
        <w:textAlignment w:val="auto"/>
        <w:rPr>
          <w:sz w:val="24"/>
        </w:rPr>
      </w:pPr>
      <w:r w:rsidRPr="00BA6526">
        <w:rPr>
          <w:b/>
          <w:bCs/>
          <w:sz w:val="24"/>
        </w:rPr>
        <w:t xml:space="preserve">Due Dates for Filing Individual Returns (2019, 2020 and 2021 Returns).  </w:t>
      </w:r>
      <w:r>
        <w:rPr>
          <w:sz w:val="24"/>
        </w:rPr>
        <w:t>There were no changes to the due dates for corporate tax returns.  However, t</w:t>
      </w:r>
      <w:r w:rsidRPr="00BA6526">
        <w:rPr>
          <w:sz w:val="24"/>
        </w:rPr>
        <w:t>o help individuals during the pandemic, Congress temporarily moved the due dates of individual tax returns (Form 1040).  The due date of the 2019 individual tax return was moved from the traditional April 15, 2020, to July15, 2020.  The 2020 return due date was moved from April 15, 2021, to May 17, 2021.  An extension could be obtained until October 15, 2021.  However, the due dates for other returns remained unchanged.  At this point, it appears that the normal filing dates for 2021 returns will apply.</w:t>
      </w:r>
    </w:p>
    <w:p w14:paraId="1A4D2DC2" w14:textId="77777777" w:rsidR="00BA6526" w:rsidRPr="00BA6526" w:rsidRDefault="00BA6526" w:rsidP="00E556DE">
      <w:pPr>
        <w:overflowPunct/>
        <w:textAlignment w:val="auto"/>
        <w:rPr>
          <w:b/>
          <w:bCs/>
          <w:sz w:val="24"/>
          <w:highlight w:val="yellow"/>
        </w:rPr>
      </w:pPr>
    </w:p>
    <w:p w14:paraId="56F51644" w14:textId="77777777" w:rsidR="00F621D4" w:rsidRPr="006112E3" w:rsidRDefault="00F621D4" w:rsidP="00F621D4">
      <w:pPr>
        <w:pStyle w:val="border"/>
      </w:pPr>
      <w:r w:rsidRPr="006112E3">
        <w:t>CHAPTER 9:  TAXATION OF PARTNERSHIPS AND PARTNERS</w:t>
      </w:r>
    </w:p>
    <w:p w14:paraId="13641788" w14:textId="77777777" w:rsidR="00977C14" w:rsidRPr="00371EE1" w:rsidRDefault="00977C14" w:rsidP="00FF3595">
      <w:pPr>
        <w:rPr>
          <w:b/>
          <w:sz w:val="24"/>
          <w:szCs w:val="24"/>
          <w:highlight w:val="yellow"/>
        </w:rPr>
      </w:pPr>
    </w:p>
    <w:p w14:paraId="39A7CC35" w14:textId="2647BAF4" w:rsidR="00B329CE" w:rsidRPr="006112E3" w:rsidRDefault="00B329CE" w:rsidP="00B329CE">
      <w:pPr>
        <w:rPr>
          <w:b/>
          <w:sz w:val="24"/>
          <w:szCs w:val="24"/>
        </w:rPr>
      </w:pPr>
      <w:r w:rsidRPr="006112E3">
        <w:rPr>
          <w:b/>
          <w:sz w:val="24"/>
          <w:szCs w:val="24"/>
        </w:rPr>
        <w:t>Page 9-38</w:t>
      </w:r>
    </w:p>
    <w:p w14:paraId="7551E90A" w14:textId="1726FE15" w:rsidR="00B329CE" w:rsidRDefault="00B329CE" w:rsidP="00B329CE">
      <w:pPr>
        <w:rPr>
          <w:b/>
          <w:sz w:val="24"/>
          <w:szCs w:val="24"/>
          <w:highlight w:val="yellow"/>
        </w:rPr>
      </w:pPr>
    </w:p>
    <w:p w14:paraId="45038B45" w14:textId="77777777" w:rsidR="00A876A3" w:rsidRPr="000B7569" w:rsidRDefault="00A876A3" w:rsidP="00A876A3">
      <w:pPr>
        <w:rPr>
          <w:b/>
        </w:rPr>
      </w:pPr>
      <w:r>
        <w:rPr>
          <w:b/>
        </w:rPr>
        <w:t>Excess Business Losses (EBLs)</w:t>
      </w:r>
    </w:p>
    <w:p w14:paraId="3402BE25" w14:textId="77777777" w:rsidR="00A876A3" w:rsidRPr="00B85768" w:rsidRDefault="00A876A3" w:rsidP="00A876A3">
      <w:pPr>
        <w:rPr>
          <w:b/>
        </w:rPr>
      </w:pPr>
    </w:p>
    <w:p w14:paraId="5370812E" w14:textId="77777777" w:rsidR="00A876A3" w:rsidRPr="00260A01" w:rsidRDefault="00A876A3" w:rsidP="00A876A3">
      <w:pPr>
        <w:rPr>
          <w:bCs/>
          <w:szCs w:val="24"/>
        </w:rPr>
      </w:pPr>
      <w:r>
        <w:rPr>
          <w:b/>
          <w:szCs w:val="24"/>
        </w:rPr>
        <w:t xml:space="preserve">EBLs and ARPA.  </w:t>
      </w:r>
      <w:r w:rsidRPr="008849F7">
        <w:rPr>
          <w:bCs/>
          <w:szCs w:val="24"/>
        </w:rPr>
        <w:t>ARPA</w:t>
      </w:r>
      <w:r w:rsidRPr="00260A01">
        <w:rPr>
          <w:bCs/>
          <w:szCs w:val="24"/>
        </w:rPr>
        <w:t xml:space="preserve"> extends the §461(l) limitation on excess business losses of noncorporate taxpayers for one year, through 2027.</w:t>
      </w:r>
      <w:r>
        <w:rPr>
          <w:bCs/>
          <w:szCs w:val="24"/>
        </w:rPr>
        <w:t xml:space="preserve">  As noted above, the rule concerns the </w:t>
      </w:r>
      <w:r w:rsidRPr="00260A01">
        <w:rPr>
          <w:bCs/>
          <w:szCs w:val="24"/>
        </w:rPr>
        <w:t xml:space="preserve">$250,000/500,000 </w:t>
      </w:r>
      <w:r>
        <w:rPr>
          <w:bCs/>
          <w:szCs w:val="24"/>
        </w:rPr>
        <w:t>limit</w:t>
      </w:r>
      <w:r w:rsidRPr="00260A01">
        <w:rPr>
          <w:bCs/>
          <w:szCs w:val="24"/>
        </w:rPr>
        <w:t xml:space="preserve"> on business losses (whether passing through on a K-1,</w:t>
      </w:r>
      <w:r>
        <w:rPr>
          <w:bCs/>
          <w:szCs w:val="24"/>
        </w:rPr>
        <w:t xml:space="preserve"> </w:t>
      </w:r>
      <w:r w:rsidRPr="00260A01">
        <w:rPr>
          <w:bCs/>
          <w:szCs w:val="24"/>
        </w:rPr>
        <w:t xml:space="preserve">or from a Schedule C or F proprietorship) which was part of the </w:t>
      </w:r>
      <w:proofErr w:type="gramStart"/>
      <w:r w:rsidRPr="00260A01">
        <w:rPr>
          <w:bCs/>
          <w:szCs w:val="24"/>
        </w:rPr>
        <w:t>TCJA</w:t>
      </w:r>
      <w:proofErr w:type="gramEnd"/>
      <w:r w:rsidRPr="00260A01">
        <w:rPr>
          <w:bCs/>
          <w:szCs w:val="24"/>
        </w:rPr>
        <w:t xml:space="preserve"> but which was delayed until the 2021</w:t>
      </w:r>
      <w:r>
        <w:rPr>
          <w:bCs/>
          <w:szCs w:val="24"/>
        </w:rPr>
        <w:t xml:space="preserve"> </w:t>
      </w:r>
      <w:r w:rsidRPr="00260A01">
        <w:rPr>
          <w:bCs/>
          <w:szCs w:val="24"/>
        </w:rPr>
        <w:t xml:space="preserve">tax year. </w:t>
      </w:r>
    </w:p>
    <w:p w14:paraId="1E18A7EA" w14:textId="77777777" w:rsidR="00A876A3" w:rsidRDefault="00A876A3" w:rsidP="00A876A3">
      <w:pPr>
        <w:rPr>
          <w:b/>
          <w:szCs w:val="24"/>
        </w:rPr>
      </w:pPr>
    </w:p>
    <w:p w14:paraId="6639948C" w14:textId="258676D7" w:rsidR="00A57600" w:rsidRPr="00BF508B" w:rsidRDefault="00EB5EDE" w:rsidP="008D4ECC">
      <w:pPr>
        <w:rPr>
          <w:b/>
          <w:sz w:val="24"/>
          <w:szCs w:val="24"/>
        </w:rPr>
      </w:pPr>
      <w:r w:rsidRPr="00BF508B">
        <w:rPr>
          <w:b/>
          <w:sz w:val="24"/>
          <w:szCs w:val="24"/>
        </w:rPr>
        <w:t>Page 9-3</w:t>
      </w:r>
      <w:r w:rsidR="00A57600" w:rsidRPr="00BF508B">
        <w:rPr>
          <w:b/>
          <w:sz w:val="24"/>
          <w:szCs w:val="24"/>
        </w:rPr>
        <w:t>9</w:t>
      </w:r>
      <w:r w:rsidRPr="00BF508B">
        <w:rPr>
          <w:b/>
          <w:sz w:val="24"/>
          <w:szCs w:val="24"/>
        </w:rPr>
        <w:t xml:space="preserve"> </w:t>
      </w:r>
    </w:p>
    <w:p w14:paraId="2F96435A" w14:textId="77777777" w:rsidR="00A57600" w:rsidRPr="00BF508B" w:rsidRDefault="00A57600" w:rsidP="008D4ECC">
      <w:pPr>
        <w:rPr>
          <w:b/>
          <w:sz w:val="24"/>
          <w:szCs w:val="24"/>
        </w:rPr>
      </w:pPr>
    </w:p>
    <w:p w14:paraId="3BD1B02D" w14:textId="3A438D77" w:rsidR="008D4ECC" w:rsidRPr="00BF508B" w:rsidRDefault="00746107" w:rsidP="008D4ECC">
      <w:pPr>
        <w:rPr>
          <w:sz w:val="24"/>
          <w:szCs w:val="24"/>
        </w:rPr>
      </w:pPr>
      <w:r w:rsidRPr="00BF508B">
        <w:rPr>
          <w:b/>
          <w:sz w:val="24"/>
          <w:szCs w:val="24"/>
        </w:rPr>
        <w:t>Deduction for Qualified Business Income (QBI)</w:t>
      </w:r>
      <w:r w:rsidR="008D4ECC" w:rsidRPr="00BF508B">
        <w:rPr>
          <w:b/>
          <w:bCs/>
          <w:sz w:val="24"/>
          <w:szCs w:val="24"/>
        </w:rPr>
        <w:t xml:space="preserve">: Taxable Income Limitation.  </w:t>
      </w:r>
      <w:bookmarkStart w:id="5" w:name="_Hlk81913648"/>
      <w:r w:rsidR="008D4ECC" w:rsidRPr="00BF508B">
        <w:rPr>
          <w:bCs/>
          <w:sz w:val="24"/>
          <w:szCs w:val="24"/>
        </w:rPr>
        <w:t xml:space="preserve">The qualified business income deduction is generally limited to 20% of taxable income before any consideration of the deduction for NOLs (except for any portion of the NOL that is attributable to excess business losses).  </w:t>
      </w:r>
      <w:r w:rsidR="008D4ECC" w:rsidRPr="00BF508B">
        <w:rPr>
          <w:sz w:val="24"/>
          <w:szCs w:val="24"/>
        </w:rPr>
        <w:t xml:space="preserve">As noted above, for taxable years beginning </w:t>
      </w:r>
      <w:r w:rsidR="008D4ECC" w:rsidRPr="00BF508B">
        <w:rPr>
          <w:i/>
          <w:iCs/>
          <w:sz w:val="24"/>
          <w:szCs w:val="24"/>
        </w:rPr>
        <w:t xml:space="preserve">after </w:t>
      </w:r>
      <w:r w:rsidR="008D4ECC" w:rsidRPr="00BF508B">
        <w:rPr>
          <w:sz w:val="24"/>
          <w:szCs w:val="24"/>
        </w:rPr>
        <w:t xml:space="preserve">December 31, </w:t>
      </w:r>
      <w:r w:rsidR="008D4ECC" w:rsidRPr="00BF508B">
        <w:rPr>
          <w:i/>
          <w:iCs/>
          <w:sz w:val="24"/>
          <w:szCs w:val="24"/>
        </w:rPr>
        <w:t>2020</w:t>
      </w:r>
      <w:r w:rsidR="008D4ECC" w:rsidRPr="00BF508B">
        <w:rPr>
          <w:sz w:val="24"/>
          <w:szCs w:val="24"/>
        </w:rPr>
        <w:t>, the 80% of taxable income limitation on NOLs is reinstated.  When determining taxable income for purposes of calculating the 80% limitation on NOLs, the QBI deduction is ignored.</w:t>
      </w:r>
    </w:p>
    <w:p w14:paraId="76608C61" w14:textId="77777777" w:rsidR="008D4ECC" w:rsidRPr="00BF508B" w:rsidRDefault="008D4ECC" w:rsidP="008D4ECC">
      <w:pPr>
        <w:overflowPunct/>
        <w:autoSpaceDE/>
        <w:autoSpaceDN/>
        <w:adjustRightInd/>
        <w:jc w:val="both"/>
        <w:textAlignment w:val="auto"/>
        <w:rPr>
          <w:sz w:val="24"/>
          <w:szCs w:val="24"/>
        </w:rPr>
      </w:pPr>
    </w:p>
    <w:p w14:paraId="70F663DD" w14:textId="1C475A8D" w:rsidR="008D4ECC" w:rsidRPr="00BF508B" w:rsidRDefault="008D4ECC" w:rsidP="008D4ECC">
      <w:pPr>
        <w:overflowPunct/>
        <w:textAlignment w:val="auto"/>
        <w:rPr>
          <w:sz w:val="24"/>
          <w:szCs w:val="24"/>
        </w:rPr>
      </w:pPr>
      <w:r w:rsidRPr="00BF508B">
        <w:rPr>
          <w:b/>
          <w:bCs/>
          <w:sz w:val="24"/>
          <w:szCs w:val="24"/>
        </w:rPr>
        <w:t xml:space="preserve">Example </w:t>
      </w:r>
      <w:r w:rsidR="004D22F0" w:rsidRPr="00BF508B">
        <w:rPr>
          <w:b/>
          <w:bCs/>
          <w:sz w:val="24"/>
          <w:szCs w:val="24"/>
        </w:rPr>
        <w:t>13</w:t>
      </w:r>
      <w:r w:rsidRPr="00BF508B">
        <w:rPr>
          <w:b/>
          <w:bCs/>
          <w:sz w:val="24"/>
          <w:szCs w:val="24"/>
        </w:rPr>
        <w:t xml:space="preserve">.  </w:t>
      </w:r>
      <w:r w:rsidRPr="00BF508B">
        <w:rPr>
          <w:bCs/>
          <w:sz w:val="24"/>
          <w:szCs w:val="24"/>
        </w:rPr>
        <w:t xml:space="preserve">The year is 2021 and NOLs are generally limited to 80% of taxable income. </w:t>
      </w:r>
      <w:r w:rsidRPr="00BF508B">
        <w:rPr>
          <w:sz w:val="24"/>
          <w:szCs w:val="24"/>
        </w:rPr>
        <w:t xml:space="preserve">A married couple has taxable income in 2021 of $100,000 before considering a QBI deduction of $15,000.  They also have a pre-2018 NOL of $150,000.  With the reinstatement of the 80% of taxable income limitation in 2021, the NOL would be limited to $80,000 (80% x $100,000 of taxable income before the QBI deduction).  </w:t>
      </w:r>
    </w:p>
    <w:p w14:paraId="0ADC3656" w14:textId="0325EA41" w:rsidR="008C3087" w:rsidRPr="00371EE1" w:rsidRDefault="004E29E8" w:rsidP="00C27B47">
      <w:pPr>
        <w:rPr>
          <w:b/>
          <w:bCs/>
          <w:highlight w:val="yellow"/>
        </w:rPr>
      </w:pPr>
      <w:r>
        <w:rPr>
          <w:b/>
          <w:bCs/>
          <w:highlight w:val="yellow"/>
        </w:rPr>
        <w:br w:type="column"/>
      </w:r>
    </w:p>
    <w:bookmarkEnd w:id="5"/>
    <w:p w14:paraId="27CEEA01" w14:textId="77777777" w:rsidR="00C27B47" w:rsidRPr="00BF508B" w:rsidRDefault="00C27B47" w:rsidP="00C27B47">
      <w:pPr>
        <w:pStyle w:val="border"/>
        <w:rPr>
          <w:b w:val="0"/>
          <w:bCs/>
        </w:rPr>
      </w:pPr>
      <w:r w:rsidRPr="00BF508B">
        <w:t xml:space="preserve">CHAPTER 11:  S CORPORATIONS </w:t>
      </w:r>
    </w:p>
    <w:p w14:paraId="47F3F7DD" w14:textId="77777777" w:rsidR="00F621D4" w:rsidRPr="00BF508B" w:rsidRDefault="00F621D4" w:rsidP="00211D89">
      <w:pPr>
        <w:tabs>
          <w:tab w:val="left" w:pos="360"/>
          <w:tab w:val="decimal" w:pos="3150"/>
          <w:tab w:val="decimal" w:pos="4500"/>
        </w:tabs>
        <w:rPr>
          <w:b/>
        </w:rPr>
      </w:pPr>
    </w:p>
    <w:p w14:paraId="1A041C15" w14:textId="77777777" w:rsidR="00FE08F4" w:rsidRPr="00BF508B" w:rsidRDefault="00D37302" w:rsidP="00D37302">
      <w:pPr>
        <w:rPr>
          <w:b/>
          <w:sz w:val="24"/>
          <w:szCs w:val="24"/>
        </w:rPr>
      </w:pPr>
      <w:r w:rsidRPr="00BF508B">
        <w:rPr>
          <w:b/>
          <w:sz w:val="24"/>
          <w:szCs w:val="24"/>
        </w:rPr>
        <w:t>Page 11-</w:t>
      </w:r>
      <w:r w:rsidR="00610C02" w:rsidRPr="00BF508B">
        <w:rPr>
          <w:b/>
          <w:sz w:val="24"/>
          <w:szCs w:val="24"/>
        </w:rPr>
        <w:t>22.</w:t>
      </w:r>
      <w:r w:rsidRPr="00BF508B">
        <w:rPr>
          <w:b/>
          <w:sz w:val="24"/>
          <w:szCs w:val="24"/>
        </w:rPr>
        <w:t xml:space="preserve">  </w:t>
      </w:r>
    </w:p>
    <w:p w14:paraId="249846DA" w14:textId="77777777" w:rsidR="00FE08F4" w:rsidRPr="00BF508B" w:rsidRDefault="00FE08F4" w:rsidP="00D37302">
      <w:pPr>
        <w:rPr>
          <w:b/>
          <w:sz w:val="24"/>
          <w:szCs w:val="24"/>
        </w:rPr>
      </w:pPr>
    </w:p>
    <w:p w14:paraId="6748A42D" w14:textId="77777777" w:rsidR="00855F15" w:rsidRPr="00BF508B" w:rsidRDefault="00D37302" w:rsidP="00855F15">
      <w:pPr>
        <w:rPr>
          <w:sz w:val="24"/>
          <w:szCs w:val="24"/>
        </w:rPr>
      </w:pPr>
      <w:r w:rsidRPr="00BF508B">
        <w:rPr>
          <w:b/>
          <w:sz w:val="24"/>
          <w:szCs w:val="24"/>
        </w:rPr>
        <w:t xml:space="preserve">Qualified Business Income Deduction.  </w:t>
      </w:r>
      <w:r w:rsidR="00855F15" w:rsidRPr="00BF508B">
        <w:rPr>
          <w:bCs/>
          <w:sz w:val="24"/>
          <w:szCs w:val="24"/>
        </w:rPr>
        <w:t xml:space="preserve">The qualified business income deduction is generally limited to 20% of taxable income before any consideration of the deduction for NOLs (except for any portion of the NOL that is attributable to excess business losses).  </w:t>
      </w:r>
      <w:r w:rsidR="00855F15" w:rsidRPr="00BF508B">
        <w:rPr>
          <w:sz w:val="24"/>
          <w:szCs w:val="24"/>
        </w:rPr>
        <w:t xml:space="preserve">As noted above, for taxable years beginning </w:t>
      </w:r>
      <w:r w:rsidR="00855F15" w:rsidRPr="00BF508B">
        <w:rPr>
          <w:i/>
          <w:iCs/>
          <w:sz w:val="24"/>
          <w:szCs w:val="24"/>
        </w:rPr>
        <w:t xml:space="preserve">after </w:t>
      </w:r>
      <w:r w:rsidR="00855F15" w:rsidRPr="00BF508B">
        <w:rPr>
          <w:sz w:val="24"/>
          <w:szCs w:val="24"/>
        </w:rPr>
        <w:t xml:space="preserve">December 31, </w:t>
      </w:r>
      <w:r w:rsidR="00855F15" w:rsidRPr="00BF508B">
        <w:rPr>
          <w:i/>
          <w:iCs/>
          <w:sz w:val="24"/>
          <w:szCs w:val="24"/>
        </w:rPr>
        <w:t>2020</w:t>
      </w:r>
      <w:r w:rsidR="00855F15" w:rsidRPr="00BF508B">
        <w:rPr>
          <w:sz w:val="24"/>
          <w:szCs w:val="24"/>
        </w:rPr>
        <w:t>, the 80% of taxable income limitation on NOLs is reinstated.  When determining taxable income for purposes of calculating the 80% limitation on NOLs, the QBI deduction is ignored.</w:t>
      </w:r>
    </w:p>
    <w:p w14:paraId="68CF2EF5" w14:textId="77777777" w:rsidR="00855F15" w:rsidRPr="00BF508B" w:rsidRDefault="00855F15" w:rsidP="00855F15">
      <w:pPr>
        <w:overflowPunct/>
        <w:autoSpaceDE/>
        <w:autoSpaceDN/>
        <w:adjustRightInd/>
        <w:jc w:val="both"/>
        <w:textAlignment w:val="auto"/>
        <w:rPr>
          <w:sz w:val="24"/>
          <w:szCs w:val="24"/>
        </w:rPr>
      </w:pPr>
    </w:p>
    <w:p w14:paraId="6F495A52" w14:textId="77777777" w:rsidR="00855F15" w:rsidRPr="00BF508B" w:rsidRDefault="00855F15" w:rsidP="00855F15">
      <w:pPr>
        <w:overflowPunct/>
        <w:textAlignment w:val="auto"/>
        <w:rPr>
          <w:sz w:val="24"/>
          <w:szCs w:val="24"/>
        </w:rPr>
      </w:pPr>
      <w:r w:rsidRPr="00BF508B">
        <w:rPr>
          <w:b/>
          <w:bCs/>
          <w:sz w:val="24"/>
          <w:szCs w:val="24"/>
        </w:rPr>
        <w:t xml:space="preserve">Example 13.  </w:t>
      </w:r>
      <w:r w:rsidRPr="00BF508B">
        <w:rPr>
          <w:bCs/>
          <w:sz w:val="24"/>
          <w:szCs w:val="24"/>
        </w:rPr>
        <w:t xml:space="preserve">The year is 2021 and NOLs are generally limited to 80% of taxable income. </w:t>
      </w:r>
      <w:r w:rsidRPr="00BF508B">
        <w:rPr>
          <w:sz w:val="24"/>
          <w:szCs w:val="24"/>
        </w:rPr>
        <w:t xml:space="preserve">A married couple has taxable income in 2021 of $100,000 before considering a QBI deduction of $15,000.  They also have a pre-2018 NOL of $150,000.  With the reinstatement of the 80% of taxable income limitation in 2021, the NOL would be limited to $80,000 (80% x $100,000 of taxable income before the QBI deduction).  </w:t>
      </w:r>
    </w:p>
    <w:p w14:paraId="6C1AFC83" w14:textId="1F83925B" w:rsidR="00855F15" w:rsidRPr="00371EE1" w:rsidRDefault="00855F15" w:rsidP="00855F15">
      <w:pPr>
        <w:rPr>
          <w:b/>
          <w:bCs/>
          <w:highlight w:val="yellow"/>
        </w:rPr>
      </w:pPr>
    </w:p>
    <w:p w14:paraId="465E87F2" w14:textId="15927CA3" w:rsidR="00D37302" w:rsidRPr="00BF508B" w:rsidRDefault="00D37302" w:rsidP="00211D89">
      <w:pPr>
        <w:tabs>
          <w:tab w:val="left" w:pos="360"/>
          <w:tab w:val="decimal" w:pos="3150"/>
          <w:tab w:val="decimal" w:pos="4500"/>
        </w:tabs>
        <w:rPr>
          <w:b/>
        </w:rPr>
      </w:pPr>
    </w:p>
    <w:p w14:paraId="00E2E5A0" w14:textId="538A773A" w:rsidR="00FE08F4" w:rsidRPr="00BF508B" w:rsidRDefault="00610C02" w:rsidP="00610C02">
      <w:pPr>
        <w:rPr>
          <w:b/>
          <w:sz w:val="24"/>
          <w:szCs w:val="24"/>
        </w:rPr>
      </w:pPr>
      <w:r w:rsidRPr="00BF508B">
        <w:rPr>
          <w:b/>
          <w:sz w:val="24"/>
          <w:szCs w:val="24"/>
        </w:rPr>
        <w:t>Page 11-</w:t>
      </w:r>
      <w:r w:rsidR="00FB4706">
        <w:rPr>
          <w:b/>
          <w:sz w:val="24"/>
          <w:szCs w:val="24"/>
        </w:rPr>
        <w:t>39</w:t>
      </w:r>
      <w:r w:rsidRPr="00BF508B">
        <w:rPr>
          <w:b/>
          <w:sz w:val="24"/>
          <w:szCs w:val="24"/>
        </w:rPr>
        <w:t xml:space="preserve">. </w:t>
      </w:r>
    </w:p>
    <w:p w14:paraId="7AEDF982" w14:textId="77777777" w:rsidR="00FE08F4" w:rsidRPr="00BF508B" w:rsidRDefault="00FE08F4" w:rsidP="00610C02">
      <w:pPr>
        <w:rPr>
          <w:b/>
          <w:sz w:val="24"/>
          <w:szCs w:val="24"/>
        </w:rPr>
      </w:pPr>
    </w:p>
    <w:p w14:paraId="33923A36" w14:textId="41C60496" w:rsidR="00610C02" w:rsidRPr="00BF508B" w:rsidRDefault="00610C02" w:rsidP="00610C02">
      <w:pPr>
        <w:rPr>
          <w:sz w:val="24"/>
          <w:szCs w:val="24"/>
        </w:rPr>
      </w:pPr>
      <w:r w:rsidRPr="00BF508B">
        <w:rPr>
          <w:b/>
          <w:sz w:val="24"/>
          <w:szCs w:val="24"/>
        </w:rPr>
        <w:t xml:space="preserve">Limitation on </w:t>
      </w:r>
      <w:r w:rsidR="00FB4706">
        <w:rPr>
          <w:b/>
          <w:sz w:val="24"/>
          <w:szCs w:val="24"/>
        </w:rPr>
        <w:t>Business Losses</w:t>
      </w:r>
      <w:r w:rsidR="00351D93" w:rsidRPr="00BF508B">
        <w:rPr>
          <w:b/>
          <w:sz w:val="24"/>
          <w:szCs w:val="24"/>
        </w:rPr>
        <w:t xml:space="preserve"> for S Corporations</w:t>
      </w:r>
      <w:r w:rsidRPr="00BF508B">
        <w:rPr>
          <w:b/>
          <w:sz w:val="24"/>
          <w:szCs w:val="24"/>
        </w:rPr>
        <w:t xml:space="preserve">.  </w:t>
      </w:r>
      <w:r w:rsidRPr="00BF508B">
        <w:rPr>
          <w:sz w:val="24"/>
          <w:szCs w:val="24"/>
        </w:rPr>
        <w:t xml:space="preserve">As </w:t>
      </w:r>
      <w:r w:rsidR="00FD451E" w:rsidRPr="00BF508B">
        <w:rPr>
          <w:sz w:val="24"/>
          <w:szCs w:val="24"/>
        </w:rPr>
        <w:t>noted</w:t>
      </w:r>
      <w:r w:rsidRPr="00BF508B">
        <w:rPr>
          <w:sz w:val="24"/>
          <w:szCs w:val="24"/>
        </w:rPr>
        <w:t xml:space="preserve"> in Chapter </w:t>
      </w:r>
      <w:r w:rsidR="00DC267D" w:rsidRPr="00BF508B">
        <w:rPr>
          <w:sz w:val="24"/>
          <w:szCs w:val="24"/>
        </w:rPr>
        <w:t xml:space="preserve">9 </w:t>
      </w:r>
      <w:r w:rsidR="0061610D">
        <w:rPr>
          <w:sz w:val="24"/>
          <w:szCs w:val="24"/>
        </w:rPr>
        <w:t>for</w:t>
      </w:r>
      <w:r w:rsidRPr="00BF508B">
        <w:rPr>
          <w:sz w:val="24"/>
          <w:szCs w:val="24"/>
        </w:rPr>
        <w:t xml:space="preserve"> this supplement relating to partnerships (</w:t>
      </w:r>
      <w:r w:rsidR="00064A39" w:rsidRPr="00BF508B">
        <w:rPr>
          <w:sz w:val="24"/>
          <w:szCs w:val="24"/>
        </w:rPr>
        <w:t xml:space="preserve">comments for </w:t>
      </w:r>
      <w:r w:rsidRPr="00BF508B">
        <w:rPr>
          <w:sz w:val="24"/>
          <w:szCs w:val="24"/>
        </w:rPr>
        <w:t xml:space="preserve">page </w:t>
      </w:r>
      <w:r w:rsidR="00B6310B" w:rsidRPr="00BF508B">
        <w:rPr>
          <w:sz w:val="24"/>
          <w:szCs w:val="24"/>
        </w:rPr>
        <w:t>9-</w:t>
      </w:r>
      <w:r w:rsidR="001924C7" w:rsidRPr="00BF508B">
        <w:rPr>
          <w:sz w:val="24"/>
          <w:szCs w:val="24"/>
        </w:rPr>
        <w:t xml:space="preserve">38 </w:t>
      </w:r>
      <w:r w:rsidR="0055749E">
        <w:rPr>
          <w:sz w:val="24"/>
          <w:szCs w:val="24"/>
        </w:rPr>
        <w:t>on page 38</w:t>
      </w:r>
      <w:r w:rsidR="008C0E12" w:rsidRPr="00BF508B">
        <w:rPr>
          <w:sz w:val="24"/>
          <w:szCs w:val="24"/>
        </w:rPr>
        <w:t xml:space="preserve"> this supplement</w:t>
      </w:r>
      <w:r w:rsidR="0055749E">
        <w:rPr>
          <w:sz w:val="24"/>
          <w:szCs w:val="24"/>
        </w:rPr>
        <w:t xml:space="preserve"> above</w:t>
      </w:r>
      <w:r w:rsidR="00B6310B" w:rsidRPr="00BF508B">
        <w:rPr>
          <w:sz w:val="24"/>
          <w:szCs w:val="24"/>
        </w:rPr>
        <w:t xml:space="preserve">), the Act </w:t>
      </w:r>
      <w:r w:rsidRPr="00BF508B">
        <w:rPr>
          <w:sz w:val="24"/>
          <w:szCs w:val="24"/>
        </w:rPr>
        <w:t xml:space="preserve">creates an additional limitation </w:t>
      </w:r>
      <w:r w:rsidR="00DC267D" w:rsidRPr="00BF508B">
        <w:rPr>
          <w:sz w:val="24"/>
          <w:szCs w:val="24"/>
        </w:rPr>
        <w:t>on the deduction of</w:t>
      </w:r>
      <w:r w:rsidRPr="00BF508B">
        <w:rPr>
          <w:sz w:val="24"/>
          <w:szCs w:val="24"/>
        </w:rPr>
        <w:t xml:space="preserve"> so-called excess business losses (§ 461(l)).  The effect is to limit the amount of net business losses (e.g., losses from a sole proprietorship, </w:t>
      </w:r>
      <w:r w:rsidR="00AD5425">
        <w:rPr>
          <w:sz w:val="24"/>
          <w:szCs w:val="24"/>
        </w:rPr>
        <w:t xml:space="preserve">an </w:t>
      </w:r>
      <w:r w:rsidRPr="00BF508B">
        <w:rPr>
          <w:sz w:val="24"/>
          <w:szCs w:val="24"/>
        </w:rPr>
        <w:t>S corporation or partnership) that can be deducted from an active—in contrast to passive—owner’s return.  This is yet another barrier partner</w:t>
      </w:r>
      <w:r w:rsidR="00DC267D" w:rsidRPr="00BF508B">
        <w:rPr>
          <w:sz w:val="24"/>
          <w:szCs w:val="24"/>
        </w:rPr>
        <w:t>s</w:t>
      </w:r>
      <w:r w:rsidRPr="00BF508B">
        <w:rPr>
          <w:sz w:val="24"/>
          <w:szCs w:val="24"/>
        </w:rPr>
        <w:t xml:space="preserve"> or S shareholder</w:t>
      </w:r>
      <w:r w:rsidR="00DC267D" w:rsidRPr="00BF508B">
        <w:rPr>
          <w:sz w:val="24"/>
          <w:szCs w:val="24"/>
        </w:rPr>
        <w:t>s</w:t>
      </w:r>
      <w:r w:rsidRPr="00BF508B">
        <w:rPr>
          <w:sz w:val="24"/>
          <w:szCs w:val="24"/>
        </w:rPr>
        <w:t xml:space="preserve"> </w:t>
      </w:r>
      <w:r w:rsidR="00DC267D" w:rsidRPr="00BF508B">
        <w:rPr>
          <w:sz w:val="24"/>
          <w:szCs w:val="24"/>
        </w:rPr>
        <w:t xml:space="preserve">must </w:t>
      </w:r>
      <w:r w:rsidR="008C3C23" w:rsidRPr="00BF508B">
        <w:rPr>
          <w:sz w:val="24"/>
          <w:szCs w:val="24"/>
        </w:rPr>
        <w:t>navigate</w:t>
      </w:r>
      <w:r w:rsidR="00DC267D" w:rsidRPr="00BF508B">
        <w:rPr>
          <w:sz w:val="24"/>
          <w:szCs w:val="24"/>
        </w:rPr>
        <w:t xml:space="preserve"> before they </w:t>
      </w:r>
      <w:r w:rsidRPr="00BF508B">
        <w:rPr>
          <w:sz w:val="24"/>
          <w:szCs w:val="24"/>
        </w:rPr>
        <w:t>can deduct any losses that flow through.</w:t>
      </w:r>
    </w:p>
    <w:p w14:paraId="519CCDE7" w14:textId="77777777" w:rsidR="00E44C93" w:rsidRPr="00BF508B" w:rsidRDefault="00E44C93" w:rsidP="00E57C92">
      <w:pPr>
        <w:jc w:val="center"/>
      </w:pPr>
    </w:p>
    <w:p w14:paraId="0793F45B" w14:textId="77777777" w:rsidR="00E44C93" w:rsidRPr="00BF508B" w:rsidRDefault="00E44C93" w:rsidP="00E57C92">
      <w:pPr>
        <w:jc w:val="center"/>
      </w:pPr>
    </w:p>
    <w:p w14:paraId="49073983" w14:textId="152BEA41" w:rsidR="00E57C92" w:rsidRPr="00E365F2" w:rsidRDefault="00E57C92" w:rsidP="00A54A8B">
      <w:pPr>
        <w:jc w:val="center"/>
        <w:rPr>
          <w:rFonts w:asciiTheme="minorHAnsi" w:hAnsiTheme="minorHAnsi"/>
          <w:sz w:val="20"/>
        </w:rPr>
      </w:pPr>
      <w:r w:rsidRPr="00BF508B">
        <w:t>***************</w:t>
      </w:r>
    </w:p>
    <w:sectPr w:rsidR="00E57C92" w:rsidRPr="00E365F2" w:rsidSect="008A1C23">
      <w:headerReference w:type="even" r:id="rId27"/>
      <w:headerReference w:type="default" r:id="rId28"/>
      <w:pgSz w:w="12240" w:h="15840" w:code="1"/>
      <w:pgMar w:top="1440" w:right="1440" w:bottom="1008"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6F500" w14:textId="77777777" w:rsidR="00BC0D14" w:rsidRDefault="00BC0D14">
      <w:r>
        <w:separator/>
      </w:r>
    </w:p>
  </w:endnote>
  <w:endnote w:type="continuationSeparator" w:id="0">
    <w:p w14:paraId="09016F74" w14:textId="77777777" w:rsidR="00BC0D14" w:rsidRDefault="00BC0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emperorPS">
    <w:altName w:val="Times New Roman"/>
    <w:panose1 w:val="00000000000000000000"/>
    <w:charset w:val="00"/>
    <w:family w:val="roman"/>
    <w:notTrueType/>
    <w:pitch w:val="default"/>
    <w:sig w:usb0="00000003" w:usb1="00000000" w:usb2="00000000" w:usb3="00000000" w:csb0="00000001" w:csb1="00000000"/>
  </w:font>
  <w:font w:name="Univers-Condens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M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D3379" w14:textId="77777777" w:rsidR="00BC0D14" w:rsidRDefault="00BC0D14">
      <w:r>
        <w:separator/>
      </w:r>
    </w:p>
  </w:footnote>
  <w:footnote w:type="continuationSeparator" w:id="0">
    <w:p w14:paraId="3D9CD7E4" w14:textId="77777777" w:rsidR="00BC0D14" w:rsidRDefault="00BC0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6D64D" w14:textId="60D8AC2F" w:rsidR="00F238D0" w:rsidRDefault="00F238D0" w:rsidP="00944FCA">
    <w:pPr>
      <w:pStyle w:val="Header"/>
      <w:pBdr>
        <w:bottom w:val="single" w:sz="6" w:space="1" w:color="auto"/>
      </w:pBdr>
      <w:tabs>
        <w:tab w:val="clear" w:pos="4320"/>
        <w:tab w:val="center" w:pos="4680"/>
      </w:tabs>
      <w:rPr>
        <w:rFonts w:ascii="Times New Roman" w:hAnsi="Times New Roman"/>
      </w:rPr>
    </w:pPr>
    <w:r>
      <w:rPr>
        <w:rFonts w:ascii="Times New Roman" w:hAnsi="Times New Roman"/>
      </w:rPr>
      <w:tab/>
      <w:t>CORPORATE, PARTNERSHIP, ESTATE AND GIFT TAXATION  (</w:t>
    </w:r>
    <w:r w:rsidR="00E737E0">
      <w:rPr>
        <w:rFonts w:ascii="Times New Roman" w:hAnsi="Times New Roman"/>
      </w:rPr>
      <w:t>2022</w:t>
    </w:r>
    <w:r>
      <w:rPr>
        <w:rFonts w:ascii="Times New Roman" w:hAnsi="Times New Roman"/>
      </w:rPr>
      <w:t xml:space="preserve"> eDITION)</w:t>
    </w:r>
    <w:r>
      <w:rPr>
        <w:rFonts w:ascii="Times New Roman" w:hAnsi="Times New Roman"/>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360B18">
      <w:rPr>
        <w:rFonts w:ascii="Times New Roman" w:hAnsi="Times New Roman"/>
        <w:noProof/>
      </w:rPr>
      <w:t>2</w:t>
    </w:r>
    <w:r>
      <w:rPr>
        <w:rFonts w:ascii="Times New Roman" w:hAnsi="Times New Roman"/>
      </w:rPr>
      <w:fldChar w:fldCharType="end"/>
    </w:r>
  </w:p>
  <w:p w14:paraId="304332DE" w14:textId="012B00B5" w:rsidR="00F238D0" w:rsidRPr="008A4166" w:rsidRDefault="00F238D0" w:rsidP="00944FCA">
    <w:pPr>
      <w:pStyle w:val="Header"/>
      <w:tabs>
        <w:tab w:val="clear" w:pos="4320"/>
        <w:tab w:val="center" w:pos="46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3E74" w14:textId="655BC8B7" w:rsidR="00F238D0" w:rsidRPr="0081515D" w:rsidRDefault="00F238D0" w:rsidP="00944FCA">
    <w:pPr>
      <w:pStyle w:val="Header"/>
      <w:pBdr>
        <w:bottom w:val="single" w:sz="6" w:space="1" w:color="auto"/>
      </w:pBdr>
      <w:tabs>
        <w:tab w:val="clear" w:pos="4320"/>
        <w:tab w:val="center" w:pos="4680"/>
      </w:tabs>
      <w:jc w:val="center"/>
      <w:rPr>
        <w:rFonts w:ascii="Times New Roman" w:hAnsi="Times New Roman"/>
      </w:rPr>
    </w:pPr>
    <w:r>
      <w:rPr>
        <w:rFonts w:ascii="Times New Roman" w:hAnsi="Times New Roman"/>
      </w:rPr>
      <w:tab/>
    </w:r>
    <w:r w:rsidR="00E737E0">
      <w:rPr>
        <w:rFonts w:ascii="Times New Roman" w:hAnsi="Times New Roman"/>
      </w:rPr>
      <w:t>SUPPLEMENT (2022 edITION)</w:t>
    </w:r>
    <w:r>
      <w:rPr>
        <w:rFonts w:ascii="Times New Roman" w:hAnsi="Times New Roman"/>
        <w:vanish/>
      </w:rPr>
      <w:t>SUPPLEMENT (202</w:t>
    </w:r>
    <w:r w:rsidR="00F26E8A">
      <w:rPr>
        <w:rFonts w:ascii="Times New Roman" w:hAnsi="Times New Roman"/>
        <w:vanish/>
      </w:rPr>
      <w:t>1</w:t>
    </w:r>
    <w:r>
      <w:rPr>
        <w:rFonts w:ascii="Times New Roman" w:hAnsi="Times New Roman"/>
        <w:vanish/>
      </w:rPr>
      <w:t xml:space="preserve"> EDITION)</w:t>
    </w:r>
    <w:r>
      <w:rPr>
        <w:rFonts w:ascii="Times New Roman" w:hAnsi="Times New Roman"/>
      </w:rPr>
      <w:t xml:space="preserve"> </w:t>
    </w:r>
    <w:r>
      <w:rPr>
        <w:rFonts w:ascii="Times New Roman" w:hAnsi="Times New Roman"/>
      </w:rPr>
      <w:tab/>
    </w:r>
    <w:r w:rsidRPr="0081515D">
      <w:rPr>
        <w:rStyle w:val="PageNumber"/>
        <w:rFonts w:ascii="Times New Roman" w:hAnsi="Times New Roman"/>
      </w:rPr>
      <w:fldChar w:fldCharType="begin"/>
    </w:r>
    <w:r w:rsidRPr="0081515D">
      <w:rPr>
        <w:rStyle w:val="PageNumber"/>
        <w:rFonts w:ascii="Times New Roman" w:hAnsi="Times New Roman"/>
      </w:rPr>
      <w:instrText xml:space="preserve"> PAGE </w:instrText>
    </w:r>
    <w:r w:rsidRPr="0081515D">
      <w:rPr>
        <w:rStyle w:val="PageNumber"/>
        <w:rFonts w:ascii="Times New Roman" w:hAnsi="Times New Roman"/>
      </w:rPr>
      <w:fldChar w:fldCharType="separate"/>
    </w:r>
    <w:r w:rsidR="00360B18">
      <w:rPr>
        <w:rStyle w:val="PageNumber"/>
        <w:rFonts w:ascii="Times New Roman" w:hAnsi="Times New Roman"/>
        <w:noProof/>
      </w:rPr>
      <w:t>3</w:t>
    </w:r>
    <w:r w:rsidRPr="0081515D">
      <w:rPr>
        <w:rStyle w:val="PageNumber"/>
        <w:rFonts w:ascii="Times New Roman" w:hAnsi="Times New Roman"/>
      </w:rPr>
      <w:fldChar w:fldCharType="end"/>
    </w:r>
  </w:p>
  <w:p w14:paraId="6D5DDCBA" w14:textId="77777777" w:rsidR="00F238D0" w:rsidRDefault="00F238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B05"/>
    <w:multiLevelType w:val="hybridMultilevel"/>
    <w:tmpl w:val="B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0569F"/>
    <w:multiLevelType w:val="hybridMultilevel"/>
    <w:tmpl w:val="BBC03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F548E6"/>
    <w:multiLevelType w:val="hybridMultilevel"/>
    <w:tmpl w:val="B234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81989"/>
    <w:multiLevelType w:val="hybridMultilevel"/>
    <w:tmpl w:val="39144352"/>
    <w:lvl w:ilvl="0" w:tplc="0409000F">
      <w:start w:val="1"/>
      <w:numFmt w:val="decimal"/>
      <w:lvlText w:val="%1."/>
      <w:lvlJc w:val="left"/>
      <w:pPr>
        <w:ind w:left="117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D41D84"/>
    <w:multiLevelType w:val="hybridMultilevel"/>
    <w:tmpl w:val="0ECC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82A37"/>
    <w:multiLevelType w:val="hybridMultilevel"/>
    <w:tmpl w:val="FB98950A"/>
    <w:lvl w:ilvl="0" w:tplc="3474C3D4">
      <w:start w:val="1"/>
      <w:numFmt w:val="bullet"/>
      <w:lvlText w:val=""/>
      <w:lvlJc w:val="left"/>
      <w:pPr>
        <w:tabs>
          <w:tab w:val="num" w:pos="360"/>
        </w:tabs>
        <w:ind w:left="-360" w:firstLine="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color w:val="auto"/>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3C22AEF"/>
    <w:multiLevelType w:val="hybridMultilevel"/>
    <w:tmpl w:val="A9C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A3990"/>
    <w:multiLevelType w:val="hybridMultilevel"/>
    <w:tmpl w:val="290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A11BD"/>
    <w:multiLevelType w:val="hybridMultilevel"/>
    <w:tmpl w:val="4D1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D00AB"/>
    <w:multiLevelType w:val="hybridMultilevel"/>
    <w:tmpl w:val="9B5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41C5F"/>
    <w:multiLevelType w:val="hybridMultilevel"/>
    <w:tmpl w:val="3A66E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C346EF"/>
    <w:multiLevelType w:val="hybridMultilevel"/>
    <w:tmpl w:val="E822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F6159F"/>
    <w:multiLevelType w:val="multilevel"/>
    <w:tmpl w:val="59E4E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527111"/>
    <w:multiLevelType w:val="hybridMultilevel"/>
    <w:tmpl w:val="BCC2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F0AF4"/>
    <w:multiLevelType w:val="hybridMultilevel"/>
    <w:tmpl w:val="CC882680"/>
    <w:lvl w:ilvl="0" w:tplc="59080CCA">
      <w:start w:val="1"/>
      <w:numFmt w:val="bullet"/>
      <w:pStyle w:val="Heading4"/>
      <w:lvlText w:val=""/>
      <w:lvlJc w:val="left"/>
      <w:pPr>
        <w:tabs>
          <w:tab w:val="num" w:pos="2280"/>
        </w:tabs>
        <w:ind w:left="228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5" w15:restartNumberingAfterBreak="0">
    <w:nsid w:val="52A142ED"/>
    <w:multiLevelType w:val="hybridMultilevel"/>
    <w:tmpl w:val="5DC6DA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B7DA2"/>
    <w:multiLevelType w:val="hybridMultilevel"/>
    <w:tmpl w:val="FD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A43A40"/>
    <w:multiLevelType w:val="hybridMultilevel"/>
    <w:tmpl w:val="C28C2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0990DBA"/>
    <w:multiLevelType w:val="hybridMultilevel"/>
    <w:tmpl w:val="731C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057E30"/>
    <w:multiLevelType w:val="hybridMultilevel"/>
    <w:tmpl w:val="9774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902557"/>
    <w:multiLevelType w:val="hybridMultilevel"/>
    <w:tmpl w:val="6430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BE321F"/>
    <w:multiLevelType w:val="hybridMultilevel"/>
    <w:tmpl w:val="F62A465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 w15:restartNumberingAfterBreak="0">
    <w:nsid w:val="7F9668A6"/>
    <w:multiLevelType w:val="hybridMultilevel"/>
    <w:tmpl w:val="07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8"/>
  </w:num>
  <w:num w:numId="4">
    <w:abstractNumId w:val="4"/>
  </w:num>
  <w:num w:numId="5">
    <w:abstractNumId w:val="3"/>
  </w:num>
  <w:num w:numId="6">
    <w:abstractNumId w:val="0"/>
  </w:num>
  <w:num w:numId="7">
    <w:abstractNumId w:val="21"/>
  </w:num>
  <w:num w:numId="8">
    <w:abstractNumId w:val="13"/>
  </w:num>
  <w:num w:numId="9">
    <w:abstractNumId w:val="19"/>
  </w:num>
  <w:num w:numId="10">
    <w:abstractNumId w:val="7"/>
  </w:num>
  <w:num w:numId="11">
    <w:abstractNumId w:val="9"/>
  </w:num>
  <w:num w:numId="12">
    <w:abstractNumId w:val="11"/>
  </w:num>
  <w:num w:numId="13">
    <w:abstractNumId w:val="18"/>
  </w:num>
  <w:num w:numId="14">
    <w:abstractNumId w:val="1"/>
  </w:num>
  <w:num w:numId="15">
    <w:abstractNumId w:val="22"/>
  </w:num>
  <w:num w:numId="16">
    <w:abstractNumId w:val="6"/>
  </w:num>
  <w:num w:numId="17">
    <w:abstractNumId w:val="16"/>
  </w:num>
  <w:num w:numId="18">
    <w:abstractNumId w:val="20"/>
  </w:num>
  <w:num w:numId="19">
    <w:abstractNumId w:val="12"/>
  </w:num>
  <w:num w:numId="20">
    <w:abstractNumId w:val="17"/>
  </w:num>
  <w:num w:numId="21">
    <w:abstractNumId w:val="10"/>
  </w:num>
  <w:num w:numId="22">
    <w:abstractNumId w:val="15"/>
  </w:num>
  <w:num w:numId="2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DDE"/>
    <w:rsid w:val="00000304"/>
    <w:rsid w:val="00002E98"/>
    <w:rsid w:val="00003460"/>
    <w:rsid w:val="0000459B"/>
    <w:rsid w:val="0000515D"/>
    <w:rsid w:val="00005555"/>
    <w:rsid w:val="00006A0A"/>
    <w:rsid w:val="000118B2"/>
    <w:rsid w:val="00011F0A"/>
    <w:rsid w:val="00015DDF"/>
    <w:rsid w:val="00016C51"/>
    <w:rsid w:val="00022D29"/>
    <w:rsid w:val="00023EA3"/>
    <w:rsid w:val="0002481D"/>
    <w:rsid w:val="000251D7"/>
    <w:rsid w:val="00025229"/>
    <w:rsid w:val="00025AA2"/>
    <w:rsid w:val="0002783F"/>
    <w:rsid w:val="000307D8"/>
    <w:rsid w:val="00030C93"/>
    <w:rsid w:val="00033375"/>
    <w:rsid w:val="00040E61"/>
    <w:rsid w:val="00043385"/>
    <w:rsid w:val="00044B04"/>
    <w:rsid w:val="0004669A"/>
    <w:rsid w:val="00047D83"/>
    <w:rsid w:val="000503EB"/>
    <w:rsid w:val="000506E8"/>
    <w:rsid w:val="00052B85"/>
    <w:rsid w:val="00054E6E"/>
    <w:rsid w:val="0005529A"/>
    <w:rsid w:val="000553BD"/>
    <w:rsid w:val="00055BBF"/>
    <w:rsid w:val="00056D4C"/>
    <w:rsid w:val="00064A39"/>
    <w:rsid w:val="00065068"/>
    <w:rsid w:val="00065160"/>
    <w:rsid w:val="00071FB3"/>
    <w:rsid w:val="0007529F"/>
    <w:rsid w:val="000763BD"/>
    <w:rsid w:val="00080066"/>
    <w:rsid w:val="000806BE"/>
    <w:rsid w:val="00082015"/>
    <w:rsid w:val="000826C4"/>
    <w:rsid w:val="00082B9A"/>
    <w:rsid w:val="000857BB"/>
    <w:rsid w:val="000858FD"/>
    <w:rsid w:val="0008597B"/>
    <w:rsid w:val="00085D7D"/>
    <w:rsid w:val="000860CA"/>
    <w:rsid w:val="00090624"/>
    <w:rsid w:val="00091BAA"/>
    <w:rsid w:val="00094EF3"/>
    <w:rsid w:val="000956C1"/>
    <w:rsid w:val="00096656"/>
    <w:rsid w:val="00097985"/>
    <w:rsid w:val="000A2489"/>
    <w:rsid w:val="000A2551"/>
    <w:rsid w:val="000A29B5"/>
    <w:rsid w:val="000A2D5A"/>
    <w:rsid w:val="000A3E02"/>
    <w:rsid w:val="000A57C2"/>
    <w:rsid w:val="000A5CAD"/>
    <w:rsid w:val="000A6D68"/>
    <w:rsid w:val="000B12AC"/>
    <w:rsid w:val="000B155B"/>
    <w:rsid w:val="000B251D"/>
    <w:rsid w:val="000B442A"/>
    <w:rsid w:val="000B6860"/>
    <w:rsid w:val="000C2A57"/>
    <w:rsid w:val="000C348F"/>
    <w:rsid w:val="000C3A95"/>
    <w:rsid w:val="000C3E4A"/>
    <w:rsid w:val="000C48E3"/>
    <w:rsid w:val="000C50E1"/>
    <w:rsid w:val="000C5231"/>
    <w:rsid w:val="000C5467"/>
    <w:rsid w:val="000C59AF"/>
    <w:rsid w:val="000C6AF9"/>
    <w:rsid w:val="000C7A0E"/>
    <w:rsid w:val="000D1203"/>
    <w:rsid w:val="000D31DB"/>
    <w:rsid w:val="000D475F"/>
    <w:rsid w:val="000D5305"/>
    <w:rsid w:val="000F05AE"/>
    <w:rsid w:val="000F10B3"/>
    <w:rsid w:val="000F17F6"/>
    <w:rsid w:val="000F1F47"/>
    <w:rsid w:val="000F2E82"/>
    <w:rsid w:val="000F32F3"/>
    <w:rsid w:val="000F5CCE"/>
    <w:rsid w:val="000F6728"/>
    <w:rsid w:val="000F75B5"/>
    <w:rsid w:val="000F7E8C"/>
    <w:rsid w:val="0010326F"/>
    <w:rsid w:val="001045E7"/>
    <w:rsid w:val="00104CE4"/>
    <w:rsid w:val="00104D6B"/>
    <w:rsid w:val="0010713C"/>
    <w:rsid w:val="00107A57"/>
    <w:rsid w:val="00111AAC"/>
    <w:rsid w:val="00117DD0"/>
    <w:rsid w:val="00124060"/>
    <w:rsid w:val="001247B4"/>
    <w:rsid w:val="0012776D"/>
    <w:rsid w:val="0013194C"/>
    <w:rsid w:val="001325EA"/>
    <w:rsid w:val="00132FB6"/>
    <w:rsid w:val="0013407B"/>
    <w:rsid w:val="00135509"/>
    <w:rsid w:val="00136D77"/>
    <w:rsid w:val="00136E3B"/>
    <w:rsid w:val="001377B4"/>
    <w:rsid w:val="00137B51"/>
    <w:rsid w:val="00141794"/>
    <w:rsid w:val="00142173"/>
    <w:rsid w:val="00143CEC"/>
    <w:rsid w:val="0014657F"/>
    <w:rsid w:val="0014714B"/>
    <w:rsid w:val="00147FA7"/>
    <w:rsid w:val="0015068A"/>
    <w:rsid w:val="001508A8"/>
    <w:rsid w:val="0015200B"/>
    <w:rsid w:val="00154FC3"/>
    <w:rsid w:val="00155A83"/>
    <w:rsid w:val="001560B0"/>
    <w:rsid w:val="00157D48"/>
    <w:rsid w:val="00157FB0"/>
    <w:rsid w:val="0016113F"/>
    <w:rsid w:val="00161F42"/>
    <w:rsid w:val="00164F64"/>
    <w:rsid w:val="0016550D"/>
    <w:rsid w:val="00165F16"/>
    <w:rsid w:val="001660E6"/>
    <w:rsid w:val="0016632A"/>
    <w:rsid w:val="001663FE"/>
    <w:rsid w:val="001711AD"/>
    <w:rsid w:val="00171954"/>
    <w:rsid w:val="00173E40"/>
    <w:rsid w:val="00177CAC"/>
    <w:rsid w:val="001800B1"/>
    <w:rsid w:val="00184B3F"/>
    <w:rsid w:val="00185110"/>
    <w:rsid w:val="00185396"/>
    <w:rsid w:val="001867E1"/>
    <w:rsid w:val="00186849"/>
    <w:rsid w:val="00187174"/>
    <w:rsid w:val="001878CA"/>
    <w:rsid w:val="00187AFA"/>
    <w:rsid w:val="001924C7"/>
    <w:rsid w:val="00192D21"/>
    <w:rsid w:val="0019610F"/>
    <w:rsid w:val="001A06A2"/>
    <w:rsid w:val="001A091C"/>
    <w:rsid w:val="001A1E11"/>
    <w:rsid w:val="001A2F6B"/>
    <w:rsid w:val="001A4AA2"/>
    <w:rsid w:val="001A4D4A"/>
    <w:rsid w:val="001A64DF"/>
    <w:rsid w:val="001A732A"/>
    <w:rsid w:val="001A797E"/>
    <w:rsid w:val="001B0A7E"/>
    <w:rsid w:val="001B3237"/>
    <w:rsid w:val="001B3402"/>
    <w:rsid w:val="001B46DD"/>
    <w:rsid w:val="001B6C55"/>
    <w:rsid w:val="001B794B"/>
    <w:rsid w:val="001C09E9"/>
    <w:rsid w:val="001C0C55"/>
    <w:rsid w:val="001C0D94"/>
    <w:rsid w:val="001C1E43"/>
    <w:rsid w:val="001C28CA"/>
    <w:rsid w:val="001C2B00"/>
    <w:rsid w:val="001C4138"/>
    <w:rsid w:val="001C43F5"/>
    <w:rsid w:val="001C50EF"/>
    <w:rsid w:val="001C5FD3"/>
    <w:rsid w:val="001D148C"/>
    <w:rsid w:val="001D18A8"/>
    <w:rsid w:val="001D20C9"/>
    <w:rsid w:val="001D2BED"/>
    <w:rsid w:val="001D3DAD"/>
    <w:rsid w:val="001D5D9D"/>
    <w:rsid w:val="001E1BC4"/>
    <w:rsid w:val="001E1CCF"/>
    <w:rsid w:val="001E45C3"/>
    <w:rsid w:val="001E51F3"/>
    <w:rsid w:val="001E5DDE"/>
    <w:rsid w:val="001E60FB"/>
    <w:rsid w:val="001E66C6"/>
    <w:rsid w:val="001F0FDA"/>
    <w:rsid w:val="001F277A"/>
    <w:rsid w:val="001F4A31"/>
    <w:rsid w:val="001F7180"/>
    <w:rsid w:val="001F7B84"/>
    <w:rsid w:val="002025D7"/>
    <w:rsid w:val="0020500A"/>
    <w:rsid w:val="00206649"/>
    <w:rsid w:val="00207045"/>
    <w:rsid w:val="002108EF"/>
    <w:rsid w:val="00210AF7"/>
    <w:rsid w:val="002110B4"/>
    <w:rsid w:val="00211940"/>
    <w:rsid w:val="00211D89"/>
    <w:rsid w:val="00212C22"/>
    <w:rsid w:val="002140DA"/>
    <w:rsid w:val="002143EB"/>
    <w:rsid w:val="00215D99"/>
    <w:rsid w:val="002168F9"/>
    <w:rsid w:val="00217CF0"/>
    <w:rsid w:val="00217E27"/>
    <w:rsid w:val="002203D4"/>
    <w:rsid w:val="00220A62"/>
    <w:rsid w:val="002263C8"/>
    <w:rsid w:val="00226ADE"/>
    <w:rsid w:val="00226BCB"/>
    <w:rsid w:val="002306BB"/>
    <w:rsid w:val="00232047"/>
    <w:rsid w:val="00235326"/>
    <w:rsid w:val="002362C4"/>
    <w:rsid w:val="00236EBC"/>
    <w:rsid w:val="00240077"/>
    <w:rsid w:val="002406F7"/>
    <w:rsid w:val="002422FA"/>
    <w:rsid w:val="002427EA"/>
    <w:rsid w:val="00244AE6"/>
    <w:rsid w:val="00246A0D"/>
    <w:rsid w:val="00251E7F"/>
    <w:rsid w:val="002520B8"/>
    <w:rsid w:val="0025269A"/>
    <w:rsid w:val="00253036"/>
    <w:rsid w:val="002539CE"/>
    <w:rsid w:val="00257136"/>
    <w:rsid w:val="00260007"/>
    <w:rsid w:val="00260EA3"/>
    <w:rsid w:val="00261A5D"/>
    <w:rsid w:val="00264BCB"/>
    <w:rsid w:val="002656C8"/>
    <w:rsid w:val="00266758"/>
    <w:rsid w:val="002675DB"/>
    <w:rsid w:val="00267B80"/>
    <w:rsid w:val="002746C1"/>
    <w:rsid w:val="00275D28"/>
    <w:rsid w:val="0027690A"/>
    <w:rsid w:val="00277439"/>
    <w:rsid w:val="00281B43"/>
    <w:rsid w:val="00282E3D"/>
    <w:rsid w:val="00285A3C"/>
    <w:rsid w:val="002863DB"/>
    <w:rsid w:val="002872F7"/>
    <w:rsid w:val="002937B5"/>
    <w:rsid w:val="002967D9"/>
    <w:rsid w:val="00296E19"/>
    <w:rsid w:val="002A0642"/>
    <w:rsid w:val="002A12CA"/>
    <w:rsid w:val="002A384F"/>
    <w:rsid w:val="002A39B4"/>
    <w:rsid w:val="002A464F"/>
    <w:rsid w:val="002A6EB5"/>
    <w:rsid w:val="002A7DB7"/>
    <w:rsid w:val="002B00E9"/>
    <w:rsid w:val="002B0666"/>
    <w:rsid w:val="002B088C"/>
    <w:rsid w:val="002B160C"/>
    <w:rsid w:val="002B477D"/>
    <w:rsid w:val="002B5C50"/>
    <w:rsid w:val="002B5FFE"/>
    <w:rsid w:val="002B76D7"/>
    <w:rsid w:val="002B78EB"/>
    <w:rsid w:val="002B7F43"/>
    <w:rsid w:val="002C00F6"/>
    <w:rsid w:val="002C319E"/>
    <w:rsid w:val="002C6EF7"/>
    <w:rsid w:val="002D06FA"/>
    <w:rsid w:val="002D0EDF"/>
    <w:rsid w:val="002D2A6D"/>
    <w:rsid w:val="002D3150"/>
    <w:rsid w:val="002D6199"/>
    <w:rsid w:val="002D74E4"/>
    <w:rsid w:val="002D7687"/>
    <w:rsid w:val="002D7D02"/>
    <w:rsid w:val="002D7EA7"/>
    <w:rsid w:val="002E0CA7"/>
    <w:rsid w:val="002E59FF"/>
    <w:rsid w:val="002E6BFE"/>
    <w:rsid w:val="002E6F23"/>
    <w:rsid w:val="002E7084"/>
    <w:rsid w:val="002E729D"/>
    <w:rsid w:val="002E799D"/>
    <w:rsid w:val="002F203C"/>
    <w:rsid w:val="002F228E"/>
    <w:rsid w:val="002F2F28"/>
    <w:rsid w:val="002F3866"/>
    <w:rsid w:val="002F3BCC"/>
    <w:rsid w:val="002F4E5D"/>
    <w:rsid w:val="002F4F96"/>
    <w:rsid w:val="002F5348"/>
    <w:rsid w:val="0030024A"/>
    <w:rsid w:val="00302FE5"/>
    <w:rsid w:val="00304D99"/>
    <w:rsid w:val="00305E8F"/>
    <w:rsid w:val="003061AE"/>
    <w:rsid w:val="003107CC"/>
    <w:rsid w:val="00311A6C"/>
    <w:rsid w:val="0031215C"/>
    <w:rsid w:val="00312948"/>
    <w:rsid w:val="003134D9"/>
    <w:rsid w:val="003138A0"/>
    <w:rsid w:val="00313E45"/>
    <w:rsid w:val="0031660B"/>
    <w:rsid w:val="003170E0"/>
    <w:rsid w:val="00320CFF"/>
    <w:rsid w:val="00323939"/>
    <w:rsid w:val="003263D0"/>
    <w:rsid w:val="003316CE"/>
    <w:rsid w:val="00335567"/>
    <w:rsid w:val="00340349"/>
    <w:rsid w:val="003405E0"/>
    <w:rsid w:val="003405F3"/>
    <w:rsid w:val="00340ABA"/>
    <w:rsid w:val="0034407D"/>
    <w:rsid w:val="003443D6"/>
    <w:rsid w:val="003465EC"/>
    <w:rsid w:val="003514B4"/>
    <w:rsid w:val="00351D93"/>
    <w:rsid w:val="00355172"/>
    <w:rsid w:val="00360B18"/>
    <w:rsid w:val="00367240"/>
    <w:rsid w:val="0037187B"/>
    <w:rsid w:val="00371D27"/>
    <w:rsid w:val="00371EE1"/>
    <w:rsid w:val="00374E07"/>
    <w:rsid w:val="0037718A"/>
    <w:rsid w:val="00380C13"/>
    <w:rsid w:val="00382E2A"/>
    <w:rsid w:val="00382F42"/>
    <w:rsid w:val="00384EB7"/>
    <w:rsid w:val="003862CA"/>
    <w:rsid w:val="0039178E"/>
    <w:rsid w:val="00393DF1"/>
    <w:rsid w:val="00395416"/>
    <w:rsid w:val="00395DD2"/>
    <w:rsid w:val="0039608C"/>
    <w:rsid w:val="00396FC0"/>
    <w:rsid w:val="003A09DE"/>
    <w:rsid w:val="003A0D01"/>
    <w:rsid w:val="003A205C"/>
    <w:rsid w:val="003A3EE4"/>
    <w:rsid w:val="003A72C0"/>
    <w:rsid w:val="003B1050"/>
    <w:rsid w:val="003B2C44"/>
    <w:rsid w:val="003B4597"/>
    <w:rsid w:val="003B69AB"/>
    <w:rsid w:val="003B73A6"/>
    <w:rsid w:val="003C0543"/>
    <w:rsid w:val="003C16A5"/>
    <w:rsid w:val="003C347D"/>
    <w:rsid w:val="003C5187"/>
    <w:rsid w:val="003C5DE2"/>
    <w:rsid w:val="003D06E3"/>
    <w:rsid w:val="003D26CE"/>
    <w:rsid w:val="003D48D3"/>
    <w:rsid w:val="003E33B9"/>
    <w:rsid w:val="003E562C"/>
    <w:rsid w:val="003E6E99"/>
    <w:rsid w:val="003E7383"/>
    <w:rsid w:val="003E7597"/>
    <w:rsid w:val="003F0A2C"/>
    <w:rsid w:val="003F0F69"/>
    <w:rsid w:val="003F208D"/>
    <w:rsid w:val="003F2B63"/>
    <w:rsid w:val="003F32E5"/>
    <w:rsid w:val="003F3868"/>
    <w:rsid w:val="003F53E4"/>
    <w:rsid w:val="003F675B"/>
    <w:rsid w:val="0040302C"/>
    <w:rsid w:val="00404A0A"/>
    <w:rsid w:val="004060F7"/>
    <w:rsid w:val="0040629D"/>
    <w:rsid w:val="00407BAE"/>
    <w:rsid w:val="00410547"/>
    <w:rsid w:val="00411EA7"/>
    <w:rsid w:val="00412D35"/>
    <w:rsid w:val="00414E21"/>
    <w:rsid w:val="004156FC"/>
    <w:rsid w:val="00420BB4"/>
    <w:rsid w:val="00421706"/>
    <w:rsid w:val="0042180B"/>
    <w:rsid w:val="00424C55"/>
    <w:rsid w:val="00426E2E"/>
    <w:rsid w:val="004344AB"/>
    <w:rsid w:val="0043473B"/>
    <w:rsid w:val="00436598"/>
    <w:rsid w:val="00437CCF"/>
    <w:rsid w:val="004409DA"/>
    <w:rsid w:val="0044199A"/>
    <w:rsid w:val="00442196"/>
    <w:rsid w:val="00442DC0"/>
    <w:rsid w:val="00442F07"/>
    <w:rsid w:val="004433BE"/>
    <w:rsid w:val="00443B38"/>
    <w:rsid w:val="00443C0D"/>
    <w:rsid w:val="00445310"/>
    <w:rsid w:val="00445718"/>
    <w:rsid w:val="004458E1"/>
    <w:rsid w:val="00445FBA"/>
    <w:rsid w:val="00446B7F"/>
    <w:rsid w:val="004507CC"/>
    <w:rsid w:val="00451A52"/>
    <w:rsid w:val="004521A3"/>
    <w:rsid w:val="004542C6"/>
    <w:rsid w:val="00454A03"/>
    <w:rsid w:val="00454A2C"/>
    <w:rsid w:val="00455CE6"/>
    <w:rsid w:val="00460A3B"/>
    <w:rsid w:val="00464F9D"/>
    <w:rsid w:val="00465DB7"/>
    <w:rsid w:val="00466124"/>
    <w:rsid w:val="004665CC"/>
    <w:rsid w:val="00470B69"/>
    <w:rsid w:val="00471FE7"/>
    <w:rsid w:val="0047475C"/>
    <w:rsid w:val="0047648D"/>
    <w:rsid w:val="004779E2"/>
    <w:rsid w:val="004823F7"/>
    <w:rsid w:val="00483237"/>
    <w:rsid w:val="00491903"/>
    <w:rsid w:val="00494BA1"/>
    <w:rsid w:val="0049535C"/>
    <w:rsid w:val="00497DF2"/>
    <w:rsid w:val="004A0C0E"/>
    <w:rsid w:val="004A2A0E"/>
    <w:rsid w:val="004A442C"/>
    <w:rsid w:val="004A4868"/>
    <w:rsid w:val="004A4E3F"/>
    <w:rsid w:val="004A5604"/>
    <w:rsid w:val="004B4083"/>
    <w:rsid w:val="004B5FF9"/>
    <w:rsid w:val="004C0592"/>
    <w:rsid w:val="004C097D"/>
    <w:rsid w:val="004C2C6A"/>
    <w:rsid w:val="004C4600"/>
    <w:rsid w:val="004C57F1"/>
    <w:rsid w:val="004C6CBA"/>
    <w:rsid w:val="004C6DA5"/>
    <w:rsid w:val="004D0231"/>
    <w:rsid w:val="004D22F0"/>
    <w:rsid w:val="004D39D4"/>
    <w:rsid w:val="004E01B5"/>
    <w:rsid w:val="004E08CB"/>
    <w:rsid w:val="004E29E8"/>
    <w:rsid w:val="004E4FA4"/>
    <w:rsid w:val="004E5166"/>
    <w:rsid w:val="004E7623"/>
    <w:rsid w:val="004F02D7"/>
    <w:rsid w:val="004F0C89"/>
    <w:rsid w:val="004F27ED"/>
    <w:rsid w:val="004F304F"/>
    <w:rsid w:val="004F45E1"/>
    <w:rsid w:val="004F47AA"/>
    <w:rsid w:val="004F6020"/>
    <w:rsid w:val="004F75F1"/>
    <w:rsid w:val="004F76F3"/>
    <w:rsid w:val="00500B99"/>
    <w:rsid w:val="00500BB0"/>
    <w:rsid w:val="00500BD8"/>
    <w:rsid w:val="00501118"/>
    <w:rsid w:val="005014F6"/>
    <w:rsid w:val="00501D48"/>
    <w:rsid w:val="005028E0"/>
    <w:rsid w:val="0050328B"/>
    <w:rsid w:val="005035AB"/>
    <w:rsid w:val="00504574"/>
    <w:rsid w:val="00504D18"/>
    <w:rsid w:val="00504D2B"/>
    <w:rsid w:val="0050639A"/>
    <w:rsid w:val="00506D33"/>
    <w:rsid w:val="0050721F"/>
    <w:rsid w:val="005119A8"/>
    <w:rsid w:val="00511A86"/>
    <w:rsid w:val="00512756"/>
    <w:rsid w:val="00512C6B"/>
    <w:rsid w:val="0051333E"/>
    <w:rsid w:val="00514B2C"/>
    <w:rsid w:val="00516D1D"/>
    <w:rsid w:val="0052010F"/>
    <w:rsid w:val="00521220"/>
    <w:rsid w:val="00522B40"/>
    <w:rsid w:val="00524DF4"/>
    <w:rsid w:val="00527EDE"/>
    <w:rsid w:val="00531CE7"/>
    <w:rsid w:val="00531F35"/>
    <w:rsid w:val="00532621"/>
    <w:rsid w:val="00532EA0"/>
    <w:rsid w:val="005340F4"/>
    <w:rsid w:val="00534365"/>
    <w:rsid w:val="00534687"/>
    <w:rsid w:val="00536CA1"/>
    <w:rsid w:val="005373A4"/>
    <w:rsid w:val="00537F95"/>
    <w:rsid w:val="005411F3"/>
    <w:rsid w:val="00542339"/>
    <w:rsid w:val="00544DA5"/>
    <w:rsid w:val="0054565F"/>
    <w:rsid w:val="00547276"/>
    <w:rsid w:val="005505BD"/>
    <w:rsid w:val="0055141D"/>
    <w:rsid w:val="00554151"/>
    <w:rsid w:val="00554D8C"/>
    <w:rsid w:val="0055510E"/>
    <w:rsid w:val="0055749E"/>
    <w:rsid w:val="0055769A"/>
    <w:rsid w:val="00560873"/>
    <w:rsid w:val="00560E82"/>
    <w:rsid w:val="00561809"/>
    <w:rsid w:val="00564666"/>
    <w:rsid w:val="00564A79"/>
    <w:rsid w:val="005667ED"/>
    <w:rsid w:val="005677A8"/>
    <w:rsid w:val="00567B5D"/>
    <w:rsid w:val="00571625"/>
    <w:rsid w:val="00571A44"/>
    <w:rsid w:val="005726CD"/>
    <w:rsid w:val="00573886"/>
    <w:rsid w:val="00573ECB"/>
    <w:rsid w:val="0057698F"/>
    <w:rsid w:val="00581E3C"/>
    <w:rsid w:val="005838E4"/>
    <w:rsid w:val="00583D39"/>
    <w:rsid w:val="005867E7"/>
    <w:rsid w:val="0059207C"/>
    <w:rsid w:val="00593564"/>
    <w:rsid w:val="00593CDE"/>
    <w:rsid w:val="005964FF"/>
    <w:rsid w:val="00596833"/>
    <w:rsid w:val="005979E6"/>
    <w:rsid w:val="005A092A"/>
    <w:rsid w:val="005A2F0B"/>
    <w:rsid w:val="005A32D8"/>
    <w:rsid w:val="005A4268"/>
    <w:rsid w:val="005A50E6"/>
    <w:rsid w:val="005A75FE"/>
    <w:rsid w:val="005B06A4"/>
    <w:rsid w:val="005B344D"/>
    <w:rsid w:val="005B3DA9"/>
    <w:rsid w:val="005B4245"/>
    <w:rsid w:val="005B4EAA"/>
    <w:rsid w:val="005B5A0F"/>
    <w:rsid w:val="005B5E1C"/>
    <w:rsid w:val="005B76AD"/>
    <w:rsid w:val="005C1A7E"/>
    <w:rsid w:val="005C1E4B"/>
    <w:rsid w:val="005C3544"/>
    <w:rsid w:val="005C4C8B"/>
    <w:rsid w:val="005C7600"/>
    <w:rsid w:val="005D1450"/>
    <w:rsid w:val="005D153B"/>
    <w:rsid w:val="005D18CE"/>
    <w:rsid w:val="005D4062"/>
    <w:rsid w:val="005D43AF"/>
    <w:rsid w:val="005D4E4D"/>
    <w:rsid w:val="005D6B15"/>
    <w:rsid w:val="005D728E"/>
    <w:rsid w:val="005E0604"/>
    <w:rsid w:val="005E0DCA"/>
    <w:rsid w:val="005E1E4C"/>
    <w:rsid w:val="005E656B"/>
    <w:rsid w:val="005E7048"/>
    <w:rsid w:val="005E715F"/>
    <w:rsid w:val="005F4EA5"/>
    <w:rsid w:val="005F5419"/>
    <w:rsid w:val="005F5C8B"/>
    <w:rsid w:val="005F689B"/>
    <w:rsid w:val="005F6DF0"/>
    <w:rsid w:val="006018AC"/>
    <w:rsid w:val="00602D64"/>
    <w:rsid w:val="00603324"/>
    <w:rsid w:val="00603BC8"/>
    <w:rsid w:val="006047CC"/>
    <w:rsid w:val="0060500D"/>
    <w:rsid w:val="0060635B"/>
    <w:rsid w:val="00610C02"/>
    <w:rsid w:val="006112E3"/>
    <w:rsid w:val="006116BE"/>
    <w:rsid w:val="00611B8C"/>
    <w:rsid w:val="00613E34"/>
    <w:rsid w:val="00615E44"/>
    <w:rsid w:val="0061610D"/>
    <w:rsid w:val="00624269"/>
    <w:rsid w:val="00624F3D"/>
    <w:rsid w:val="006271E5"/>
    <w:rsid w:val="006355A3"/>
    <w:rsid w:val="00636F7A"/>
    <w:rsid w:val="00637B70"/>
    <w:rsid w:val="00637BD7"/>
    <w:rsid w:val="006450BD"/>
    <w:rsid w:val="00645779"/>
    <w:rsid w:val="006532F3"/>
    <w:rsid w:val="006536BF"/>
    <w:rsid w:val="00653BD2"/>
    <w:rsid w:val="0065470D"/>
    <w:rsid w:val="00655240"/>
    <w:rsid w:val="00655E87"/>
    <w:rsid w:val="006633FE"/>
    <w:rsid w:val="00663FB3"/>
    <w:rsid w:val="00664215"/>
    <w:rsid w:val="0066458F"/>
    <w:rsid w:val="00664FD3"/>
    <w:rsid w:val="00666EB3"/>
    <w:rsid w:val="006671EB"/>
    <w:rsid w:val="006703A2"/>
    <w:rsid w:val="006704BB"/>
    <w:rsid w:val="00670ADB"/>
    <w:rsid w:val="00672DC5"/>
    <w:rsid w:val="006740DE"/>
    <w:rsid w:val="00677E4C"/>
    <w:rsid w:val="00680005"/>
    <w:rsid w:val="006834CD"/>
    <w:rsid w:val="006835EC"/>
    <w:rsid w:val="00684EC1"/>
    <w:rsid w:val="00686F0A"/>
    <w:rsid w:val="0068725C"/>
    <w:rsid w:val="00690A40"/>
    <w:rsid w:val="00690EA0"/>
    <w:rsid w:val="00691249"/>
    <w:rsid w:val="0069228F"/>
    <w:rsid w:val="00692CBE"/>
    <w:rsid w:val="0069481E"/>
    <w:rsid w:val="00695D7C"/>
    <w:rsid w:val="006A0269"/>
    <w:rsid w:val="006A33BA"/>
    <w:rsid w:val="006A3C46"/>
    <w:rsid w:val="006A3F69"/>
    <w:rsid w:val="006A401E"/>
    <w:rsid w:val="006A5091"/>
    <w:rsid w:val="006A59D9"/>
    <w:rsid w:val="006A6F31"/>
    <w:rsid w:val="006B033A"/>
    <w:rsid w:val="006B236C"/>
    <w:rsid w:val="006B3F9C"/>
    <w:rsid w:val="006B48A8"/>
    <w:rsid w:val="006C17E2"/>
    <w:rsid w:val="006C375A"/>
    <w:rsid w:val="006C5115"/>
    <w:rsid w:val="006C5C3B"/>
    <w:rsid w:val="006C6882"/>
    <w:rsid w:val="006D1360"/>
    <w:rsid w:val="006D2E67"/>
    <w:rsid w:val="006D482D"/>
    <w:rsid w:val="006D66DB"/>
    <w:rsid w:val="006E0419"/>
    <w:rsid w:val="006E2EED"/>
    <w:rsid w:val="006E3C37"/>
    <w:rsid w:val="006E6077"/>
    <w:rsid w:val="006E74F2"/>
    <w:rsid w:val="006F0D46"/>
    <w:rsid w:val="006F225A"/>
    <w:rsid w:val="006F23B5"/>
    <w:rsid w:val="006F2AFB"/>
    <w:rsid w:val="006F6392"/>
    <w:rsid w:val="006F7C67"/>
    <w:rsid w:val="0070275D"/>
    <w:rsid w:val="00703D62"/>
    <w:rsid w:val="00704393"/>
    <w:rsid w:val="007047BD"/>
    <w:rsid w:val="00705818"/>
    <w:rsid w:val="00706BB2"/>
    <w:rsid w:val="00710949"/>
    <w:rsid w:val="00711224"/>
    <w:rsid w:val="0071295D"/>
    <w:rsid w:val="00714C5D"/>
    <w:rsid w:val="007150CC"/>
    <w:rsid w:val="007155EE"/>
    <w:rsid w:val="007166C8"/>
    <w:rsid w:val="0071688C"/>
    <w:rsid w:val="007212F4"/>
    <w:rsid w:val="00721771"/>
    <w:rsid w:val="00722334"/>
    <w:rsid w:val="00723E4A"/>
    <w:rsid w:val="00724686"/>
    <w:rsid w:val="00726A6E"/>
    <w:rsid w:val="00730DF3"/>
    <w:rsid w:val="0073334C"/>
    <w:rsid w:val="00735F9C"/>
    <w:rsid w:val="007408A8"/>
    <w:rsid w:val="00743572"/>
    <w:rsid w:val="007436D0"/>
    <w:rsid w:val="0074398E"/>
    <w:rsid w:val="00744624"/>
    <w:rsid w:val="0074511E"/>
    <w:rsid w:val="0074519A"/>
    <w:rsid w:val="00746107"/>
    <w:rsid w:val="007502FC"/>
    <w:rsid w:val="00750A66"/>
    <w:rsid w:val="00751E71"/>
    <w:rsid w:val="0075221F"/>
    <w:rsid w:val="00754B0A"/>
    <w:rsid w:val="007576A5"/>
    <w:rsid w:val="00757FB6"/>
    <w:rsid w:val="007610B4"/>
    <w:rsid w:val="00763FF4"/>
    <w:rsid w:val="007653CB"/>
    <w:rsid w:val="00765748"/>
    <w:rsid w:val="00766262"/>
    <w:rsid w:val="007712B2"/>
    <w:rsid w:val="007739AD"/>
    <w:rsid w:val="00775155"/>
    <w:rsid w:val="00775411"/>
    <w:rsid w:val="0077743C"/>
    <w:rsid w:val="007807FE"/>
    <w:rsid w:val="00781F26"/>
    <w:rsid w:val="00784481"/>
    <w:rsid w:val="0078569C"/>
    <w:rsid w:val="00787D0D"/>
    <w:rsid w:val="00792136"/>
    <w:rsid w:val="00793142"/>
    <w:rsid w:val="00793733"/>
    <w:rsid w:val="00793FFA"/>
    <w:rsid w:val="00795482"/>
    <w:rsid w:val="00795949"/>
    <w:rsid w:val="00796A75"/>
    <w:rsid w:val="007A0517"/>
    <w:rsid w:val="007A2244"/>
    <w:rsid w:val="007A4A09"/>
    <w:rsid w:val="007A748A"/>
    <w:rsid w:val="007A7BBF"/>
    <w:rsid w:val="007B0157"/>
    <w:rsid w:val="007B1C3C"/>
    <w:rsid w:val="007B236E"/>
    <w:rsid w:val="007B2755"/>
    <w:rsid w:val="007B408C"/>
    <w:rsid w:val="007B58B6"/>
    <w:rsid w:val="007B774C"/>
    <w:rsid w:val="007C17CC"/>
    <w:rsid w:val="007C2DDD"/>
    <w:rsid w:val="007C2E9E"/>
    <w:rsid w:val="007C48CF"/>
    <w:rsid w:val="007C5EC2"/>
    <w:rsid w:val="007C6758"/>
    <w:rsid w:val="007C6BFE"/>
    <w:rsid w:val="007D0133"/>
    <w:rsid w:val="007D17BF"/>
    <w:rsid w:val="007D1A1C"/>
    <w:rsid w:val="007D1C64"/>
    <w:rsid w:val="007D28E8"/>
    <w:rsid w:val="007D2F49"/>
    <w:rsid w:val="007D306C"/>
    <w:rsid w:val="007D7627"/>
    <w:rsid w:val="007E02DF"/>
    <w:rsid w:val="007E460C"/>
    <w:rsid w:val="007E6006"/>
    <w:rsid w:val="007E61A1"/>
    <w:rsid w:val="007E689D"/>
    <w:rsid w:val="007E7A38"/>
    <w:rsid w:val="007F08A7"/>
    <w:rsid w:val="007F51C8"/>
    <w:rsid w:val="007F6263"/>
    <w:rsid w:val="008007AB"/>
    <w:rsid w:val="00801CA0"/>
    <w:rsid w:val="00801CB3"/>
    <w:rsid w:val="008041F2"/>
    <w:rsid w:val="008047C4"/>
    <w:rsid w:val="00804E2C"/>
    <w:rsid w:val="00804F53"/>
    <w:rsid w:val="00805EE5"/>
    <w:rsid w:val="00806DEC"/>
    <w:rsid w:val="00807204"/>
    <w:rsid w:val="00807971"/>
    <w:rsid w:val="00812199"/>
    <w:rsid w:val="008123DE"/>
    <w:rsid w:val="00813162"/>
    <w:rsid w:val="008131D7"/>
    <w:rsid w:val="008141D5"/>
    <w:rsid w:val="0081466D"/>
    <w:rsid w:val="0081515D"/>
    <w:rsid w:val="00815628"/>
    <w:rsid w:val="00815A08"/>
    <w:rsid w:val="008162E6"/>
    <w:rsid w:val="00816BCB"/>
    <w:rsid w:val="00817568"/>
    <w:rsid w:val="008175C2"/>
    <w:rsid w:val="00821118"/>
    <w:rsid w:val="008254DD"/>
    <w:rsid w:val="0082569C"/>
    <w:rsid w:val="0082620F"/>
    <w:rsid w:val="00826BAB"/>
    <w:rsid w:val="008271F7"/>
    <w:rsid w:val="00830CB4"/>
    <w:rsid w:val="00832CE4"/>
    <w:rsid w:val="008336CA"/>
    <w:rsid w:val="008337C1"/>
    <w:rsid w:val="00836C76"/>
    <w:rsid w:val="00836FCF"/>
    <w:rsid w:val="008401CA"/>
    <w:rsid w:val="00841A9E"/>
    <w:rsid w:val="00842CF1"/>
    <w:rsid w:val="00843F28"/>
    <w:rsid w:val="00844331"/>
    <w:rsid w:val="00844354"/>
    <w:rsid w:val="00844E86"/>
    <w:rsid w:val="00852B33"/>
    <w:rsid w:val="008539F1"/>
    <w:rsid w:val="00853F82"/>
    <w:rsid w:val="008540C5"/>
    <w:rsid w:val="00855F15"/>
    <w:rsid w:val="00857816"/>
    <w:rsid w:val="00857E27"/>
    <w:rsid w:val="008600F0"/>
    <w:rsid w:val="00860D76"/>
    <w:rsid w:val="008614E6"/>
    <w:rsid w:val="00863AEC"/>
    <w:rsid w:val="00863D99"/>
    <w:rsid w:val="008656F0"/>
    <w:rsid w:val="00867B75"/>
    <w:rsid w:val="008704AA"/>
    <w:rsid w:val="00871130"/>
    <w:rsid w:val="0087248B"/>
    <w:rsid w:val="00874D06"/>
    <w:rsid w:val="00875D08"/>
    <w:rsid w:val="008766D6"/>
    <w:rsid w:val="00876B15"/>
    <w:rsid w:val="008823C3"/>
    <w:rsid w:val="00882EEA"/>
    <w:rsid w:val="00883390"/>
    <w:rsid w:val="00883FFD"/>
    <w:rsid w:val="00892041"/>
    <w:rsid w:val="0089521F"/>
    <w:rsid w:val="00897394"/>
    <w:rsid w:val="008A0BC2"/>
    <w:rsid w:val="008A0EF3"/>
    <w:rsid w:val="008A1986"/>
    <w:rsid w:val="008A1C23"/>
    <w:rsid w:val="008A4166"/>
    <w:rsid w:val="008A64A9"/>
    <w:rsid w:val="008A6733"/>
    <w:rsid w:val="008A68A8"/>
    <w:rsid w:val="008B26E7"/>
    <w:rsid w:val="008B2891"/>
    <w:rsid w:val="008B29F0"/>
    <w:rsid w:val="008B5756"/>
    <w:rsid w:val="008B5C36"/>
    <w:rsid w:val="008B6497"/>
    <w:rsid w:val="008B67B4"/>
    <w:rsid w:val="008B7B6B"/>
    <w:rsid w:val="008C04B7"/>
    <w:rsid w:val="008C0C23"/>
    <w:rsid w:val="008C0E12"/>
    <w:rsid w:val="008C1662"/>
    <w:rsid w:val="008C3087"/>
    <w:rsid w:val="008C3C23"/>
    <w:rsid w:val="008C46C9"/>
    <w:rsid w:val="008C4723"/>
    <w:rsid w:val="008C6703"/>
    <w:rsid w:val="008C67EE"/>
    <w:rsid w:val="008C7391"/>
    <w:rsid w:val="008D221D"/>
    <w:rsid w:val="008D329C"/>
    <w:rsid w:val="008D4ECC"/>
    <w:rsid w:val="008D62B3"/>
    <w:rsid w:val="008E42D0"/>
    <w:rsid w:val="008E47FD"/>
    <w:rsid w:val="008E48E2"/>
    <w:rsid w:val="008E646C"/>
    <w:rsid w:val="008E68E7"/>
    <w:rsid w:val="008E7E57"/>
    <w:rsid w:val="008F1388"/>
    <w:rsid w:val="008F5774"/>
    <w:rsid w:val="008F58A8"/>
    <w:rsid w:val="008F5C4C"/>
    <w:rsid w:val="008F6C4D"/>
    <w:rsid w:val="00900238"/>
    <w:rsid w:val="009018F6"/>
    <w:rsid w:val="00904BF2"/>
    <w:rsid w:val="00905579"/>
    <w:rsid w:val="00906D57"/>
    <w:rsid w:val="00910AE4"/>
    <w:rsid w:val="00910D83"/>
    <w:rsid w:val="00912CC4"/>
    <w:rsid w:val="0091489B"/>
    <w:rsid w:val="00914F2B"/>
    <w:rsid w:val="0091545D"/>
    <w:rsid w:val="009157B3"/>
    <w:rsid w:val="00915C38"/>
    <w:rsid w:val="00915E18"/>
    <w:rsid w:val="00916FD6"/>
    <w:rsid w:val="00920BF6"/>
    <w:rsid w:val="00923459"/>
    <w:rsid w:val="00923923"/>
    <w:rsid w:val="00924985"/>
    <w:rsid w:val="0092507F"/>
    <w:rsid w:val="009253D2"/>
    <w:rsid w:val="00927577"/>
    <w:rsid w:val="00927896"/>
    <w:rsid w:val="00930999"/>
    <w:rsid w:val="009311D4"/>
    <w:rsid w:val="00931A60"/>
    <w:rsid w:val="00933869"/>
    <w:rsid w:val="00934856"/>
    <w:rsid w:val="00934B0C"/>
    <w:rsid w:val="00941289"/>
    <w:rsid w:val="00941B7E"/>
    <w:rsid w:val="00941D6A"/>
    <w:rsid w:val="009426A8"/>
    <w:rsid w:val="0094365E"/>
    <w:rsid w:val="0094392B"/>
    <w:rsid w:val="00943ED9"/>
    <w:rsid w:val="00944FCA"/>
    <w:rsid w:val="009455C5"/>
    <w:rsid w:val="0094592D"/>
    <w:rsid w:val="009462F2"/>
    <w:rsid w:val="00946651"/>
    <w:rsid w:val="00946705"/>
    <w:rsid w:val="00947C9D"/>
    <w:rsid w:val="00951A99"/>
    <w:rsid w:val="0095201D"/>
    <w:rsid w:val="00952C1D"/>
    <w:rsid w:val="00952E24"/>
    <w:rsid w:val="00953DEE"/>
    <w:rsid w:val="00954F6F"/>
    <w:rsid w:val="00955B04"/>
    <w:rsid w:val="00956F74"/>
    <w:rsid w:val="00957E46"/>
    <w:rsid w:val="00964183"/>
    <w:rsid w:val="00964BBF"/>
    <w:rsid w:val="00965962"/>
    <w:rsid w:val="00966729"/>
    <w:rsid w:val="00970DE3"/>
    <w:rsid w:val="00970DF4"/>
    <w:rsid w:val="00974B72"/>
    <w:rsid w:val="00974E76"/>
    <w:rsid w:val="00975178"/>
    <w:rsid w:val="009759AC"/>
    <w:rsid w:val="00977C14"/>
    <w:rsid w:val="0098006D"/>
    <w:rsid w:val="00980B77"/>
    <w:rsid w:val="00980B7C"/>
    <w:rsid w:val="00984FD2"/>
    <w:rsid w:val="0098667A"/>
    <w:rsid w:val="00987C02"/>
    <w:rsid w:val="00991D4F"/>
    <w:rsid w:val="00992086"/>
    <w:rsid w:val="009932C0"/>
    <w:rsid w:val="00994D2B"/>
    <w:rsid w:val="00994E38"/>
    <w:rsid w:val="00994FE1"/>
    <w:rsid w:val="009968B2"/>
    <w:rsid w:val="009A0571"/>
    <w:rsid w:val="009A3F1E"/>
    <w:rsid w:val="009B1D1D"/>
    <w:rsid w:val="009B7479"/>
    <w:rsid w:val="009B77BB"/>
    <w:rsid w:val="009C00EF"/>
    <w:rsid w:val="009C0CC7"/>
    <w:rsid w:val="009C0D93"/>
    <w:rsid w:val="009C24DA"/>
    <w:rsid w:val="009C6C85"/>
    <w:rsid w:val="009C75D7"/>
    <w:rsid w:val="009D0F7E"/>
    <w:rsid w:val="009D61EB"/>
    <w:rsid w:val="009D6FEB"/>
    <w:rsid w:val="009D7EC2"/>
    <w:rsid w:val="009E062B"/>
    <w:rsid w:val="009E07BC"/>
    <w:rsid w:val="009E3376"/>
    <w:rsid w:val="009E3C6E"/>
    <w:rsid w:val="009E5441"/>
    <w:rsid w:val="009E641A"/>
    <w:rsid w:val="009F07FE"/>
    <w:rsid w:val="009F1B24"/>
    <w:rsid w:val="009F4A08"/>
    <w:rsid w:val="009F4CD7"/>
    <w:rsid w:val="009F5A2D"/>
    <w:rsid w:val="009F5B90"/>
    <w:rsid w:val="009F6761"/>
    <w:rsid w:val="009F698F"/>
    <w:rsid w:val="00A014C7"/>
    <w:rsid w:val="00A01C5A"/>
    <w:rsid w:val="00A04154"/>
    <w:rsid w:val="00A06E7A"/>
    <w:rsid w:val="00A10210"/>
    <w:rsid w:val="00A1059C"/>
    <w:rsid w:val="00A106D2"/>
    <w:rsid w:val="00A12AB0"/>
    <w:rsid w:val="00A12C5E"/>
    <w:rsid w:val="00A162E2"/>
    <w:rsid w:val="00A20A54"/>
    <w:rsid w:val="00A20E58"/>
    <w:rsid w:val="00A215C2"/>
    <w:rsid w:val="00A21EB1"/>
    <w:rsid w:val="00A24DAC"/>
    <w:rsid w:val="00A27465"/>
    <w:rsid w:val="00A34043"/>
    <w:rsid w:val="00A34D78"/>
    <w:rsid w:val="00A35EE7"/>
    <w:rsid w:val="00A35FB4"/>
    <w:rsid w:val="00A37E0C"/>
    <w:rsid w:val="00A402F4"/>
    <w:rsid w:val="00A4195C"/>
    <w:rsid w:val="00A42281"/>
    <w:rsid w:val="00A42774"/>
    <w:rsid w:val="00A43149"/>
    <w:rsid w:val="00A43426"/>
    <w:rsid w:val="00A4477E"/>
    <w:rsid w:val="00A45BC5"/>
    <w:rsid w:val="00A460FE"/>
    <w:rsid w:val="00A46CE9"/>
    <w:rsid w:val="00A46DA4"/>
    <w:rsid w:val="00A4796E"/>
    <w:rsid w:val="00A530EE"/>
    <w:rsid w:val="00A54A8B"/>
    <w:rsid w:val="00A55458"/>
    <w:rsid w:val="00A57600"/>
    <w:rsid w:val="00A57668"/>
    <w:rsid w:val="00A578DC"/>
    <w:rsid w:val="00A60970"/>
    <w:rsid w:val="00A6565E"/>
    <w:rsid w:val="00A65C2A"/>
    <w:rsid w:val="00A65E8F"/>
    <w:rsid w:val="00A708EF"/>
    <w:rsid w:val="00A71D35"/>
    <w:rsid w:val="00A71D55"/>
    <w:rsid w:val="00A7303A"/>
    <w:rsid w:val="00A76483"/>
    <w:rsid w:val="00A76B16"/>
    <w:rsid w:val="00A7766D"/>
    <w:rsid w:val="00A77E7C"/>
    <w:rsid w:val="00A80F69"/>
    <w:rsid w:val="00A82205"/>
    <w:rsid w:val="00A83A3B"/>
    <w:rsid w:val="00A85CBB"/>
    <w:rsid w:val="00A86AEA"/>
    <w:rsid w:val="00A870F4"/>
    <w:rsid w:val="00A876A3"/>
    <w:rsid w:val="00A91153"/>
    <w:rsid w:val="00A922CC"/>
    <w:rsid w:val="00A93C05"/>
    <w:rsid w:val="00A93E56"/>
    <w:rsid w:val="00A956DF"/>
    <w:rsid w:val="00AA0E76"/>
    <w:rsid w:val="00AA127F"/>
    <w:rsid w:val="00AA1D53"/>
    <w:rsid w:val="00AA24D5"/>
    <w:rsid w:val="00AA4C49"/>
    <w:rsid w:val="00AA63F5"/>
    <w:rsid w:val="00AB0042"/>
    <w:rsid w:val="00AB1624"/>
    <w:rsid w:val="00AB22DC"/>
    <w:rsid w:val="00AB5A3E"/>
    <w:rsid w:val="00AB69F9"/>
    <w:rsid w:val="00AB7CBB"/>
    <w:rsid w:val="00AC0F01"/>
    <w:rsid w:val="00AC193F"/>
    <w:rsid w:val="00AC34EF"/>
    <w:rsid w:val="00AC3941"/>
    <w:rsid w:val="00AC5BC1"/>
    <w:rsid w:val="00AC6F37"/>
    <w:rsid w:val="00AD0172"/>
    <w:rsid w:val="00AD1103"/>
    <w:rsid w:val="00AD41CA"/>
    <w:rsid w:val="00AD5425"/>
    <w:rsid w:val="00AD6B41"/>
    <w:rsid w:val="00AE0C69"/>
    <w:rsid w:val="00AE0C88"/>
    <w:rsid w:val="00AE0E64"/>
    <w:rsid w:val="00AE4070"/>
    <w:rsid w:val="00AE57C9"/>
    <w:rsid w:val="00AF361E"/>
    <w:rsid w:val="00AF4383"/>
    <w:rsid w:val="00AF4D09"/>
    <w:rsid w:val="00AF5F28"/>
    <w:rsid w:val="00AF5F77"/>
    <w:rsid w:val="00AF7381"/>
    <w:rsid w:val="00B00D6D"/>
    <w:rsid w:val="00B01BCE"/>
    <w:rsid w:val="00B02D70"/>
    <w:rsid w:val="00B04802"/>
    <w:rsid w:val="00B06052"/>
    <w:rsid w:val="00B07E35"/>
    <w:rsid w:val="00B109ED"/>
    <w:rsid w:val="00B10A75"/>
    <w:rsid w:val="00B123B7"/>
    <w:rsid w:val="00B12B5F"/>
    <w:rsid w:val="00B14306"/>
    <w:rsid w:val="00B17020"/>
    <w:rsid w:val="00B20C1A"/>
    <w:rsid w:val="00B223AD"/>
    <w:rsid w:val="00B22C3C"/>
    <w:rsid w:val="00B252E5"/>
    <w:rsid w:val="00B26FCC"/>
    <w:rsid w:val="00B27D9D"/>
    <w:rsid w:val="00B31E26"/>
    <w:rsid w:val="00B329CE"/>
    <w:rsid w:val="00B33D77"/>
    <w:rsid w:val="00B35839"/>
    <w:rsid w:val="00B35B6C"/>
    <w:rsid w:val="00B36182"/>
    <w:rsid w:val="00B401D5"/>
    <w:rsid w:val="00B40992"/>
    <w:rsid w:val="00B41E65"/>
    <w:rsid w:val="00B42945"/>
    <w:rsid w:val="00B45460"/>
    <w:rsid w:val="00B47020"/>
    <w:rsid w:val="00B47880"/>
    <w:rsid w:val="00B50BEE"/>
    <w:rsid w:val="00B52CC5"/>
    <w:rsid w:val="00B5416C"/>
    <w:rsid w:val="00B5475A"/>
    <w:rsid w:val="00B54E55"/>
    <w:rsid w:val="00B54F53"/>
    <w:rsid w:val="00B602BD"/>
    <w:rsid w:val="00B613FB"/>
    <w:rsid w:val="00B620F6"/>
    <w:rsid w:val="00B6310B"/>
    <w:rsid w:val="00B63911"/>
    <w:rsid w:val="00B64C49"/>
    <w:rsid w:val="00B66E8B"/>
    <w:rsid w:val="00B6728D"/>
    <w:rsid w:val="00B70125"/>
    <w:rsid w:val="00B70E15"/>
    <w:rsid w:val="00B7266F"/>
    <w:rsid w:val="00B735B7"/>
    <w:rsid w:val="00B76080"/>
    <w:rsid w:val="00B76928"/>
    <w:rsid w:val="00B7702A"/>
    <w:rsid w:val="00B80C42"/>
    <w:rsid w:val="00B80D0C"/>
    <w:rsid w:val="00B8354A"/>
    <w:rsid w:val="00B83C8D"/>
    <w:rsid w:val="00B8481F"/>
    <w:rsid w:val="00B865A0"/>
    <w:rsid w:val="00B907D7"/>
    <w:rsid w:val="00B91F4A"/>
    <w:rsid w:val="00B9319D"/>
    <w:rsid w:val="00B93A87"/>
    <w:rsid w:val="00B95951"/>
    <w:rsid w:val="00B96E7E"/>
    <w:rsid w:val="00B975F1"/>
    <w:rsid w:val="00BA15CB"/>
    <w:rsid w:val="00BA200A"/>
    <w:rsid w:val="00BA3195"/>
    <w:rsid w:val="00BA6526"/>
    <w:rsid w:val="00BA6BBB"/>
    <w:rsid w:val="00BA6F72"/>
    <w:rsid w:val="00BB0A0E"/>
    <w:rsid w:val="00BB1233"/>
    <w:rsid w:val="00BB1374"/>
    <w:rsid w:val="00BB2977"/>
    <w:rsid w:val="00BB4320"/>
    <w:rsid w:val="00BB4359"/>
    <w:rsid w:val="00BB4EDF"/>
    <w:rsid w:val="00BB6E7C"/>
    <w:rsid w:val="00BC0195"/>
    <w:rsid w:val="00BC0759"/>
    <w:rsid w:val="00BC0D14"/>
    <w:rsid w:val="00BC390D"/>
    <w:rsid w:val="00BC6167"/>
    <w:rsid w:val="00BC678C"/>
    <w:rsid w:val="00BD11DF"/>
    <w:rsid w:val="00BD183C"/>
    <w:rsid w:val="00BD375E"/>
    <w:rsid w:val="00BD62FB"/>
    <w:rsid w:val="00BE14E7"/>
    <w:rsid w:val="00BE209E"/>
    <w:rsid w:val="00BE4719"/>
    <w:rsid w:val="00BE6F77"/>
    <w:rsid w:val="00BE7FF9"/>
    <w:rsid w:val="00BF3359"/>
    <w:rsid w:val="00BF508B"/>
    <w:rsid w:val="00BF562F"/>
    <w:rsid w:val="00BF5E8E"/>
    <w:rsid w:val="00BF6673"/>
    <w:rsid w:val="00BF6E0F"/>
    <w:rsid w:val="00BF767A"/>
    <w:rsid w:val="00BF7822"/>
    <w:rsid w:val="00C00251"/>
    <w:rsid w:val="00C0135E"/>
    <w:rsid w:val="00C02E68"/>
    <w:rsid w:val="00C032F6"/>
    <w:rsid w:val="00C03A28"/>
    <w:rsid w:val="00C04D09"/>
    <w:rsid w:val="00C054D3"/>
    <w:rsid w:val="00C05B76"/>
    <w:rsid w:val="00C05DE5"/>
    <w:rsid w:val="00C11B2D"/>
    <w:rsid w:val="00C11C8E"/>
    <w:rsid w:val="00C12CBF"/>
    <w:rsid w:val="00C13E75"/>
    <w:rsid w:val="00C15E24"/>
    <w:rsid w:val="00C1704E"/>
    <w:rsid w:val="00C23590"/>
    <w:rsid w:val="00C25061"/>
    <w:rsid w:val="00C2626C"/>
    <w:rsid w:val="00C27B47"/>
    <w:rsid w:val="00C27CDE"/>
    <w:rsid w:val="00C27E4B"/>
    <w:rsid w:val="00C27FCC"/>
    <w:rsid w:val="00C30A3D"/>
    <w:rsid w:val="00C32996"/>
    <w:rsid w:val="00C337E8"/>
    <w:rsid w:val="00C33BDB"/>
    <w:rsid w:val="00C344E3"/>
    <w:rsid w:val="00C35CD4"/>
    <w:rsid w:val="00C36375"/>
    <w:rsid w:val="00C364AE"/>
    <w:rsid w:val="00C40A7F"/>
    <w:rsid w:val="00C41E98"/>
    <w:rsid w:val="00C428D4"/>
    <w:rsid w:val="00C43882"/>
    <w:rsid w:val="00C44744"/>
    <w:rsid w:val="00C460B0"/>
    <w:rsid w:val="00C501F6"/>
    <w:rsid w:val="00C506F1"/>
    <w:rsid w:val="00C53112"/>
    <w:rsid w:val="00C53BCE"/>
    <w:rsid w:val="00C5417F"/>
    <w:rsid w:val="00C602D0"/>
    <w:rsid w:val="00C6033F"/>
    <w:rsid w:val="00C62EAF"/>
    <w:rsid w:val="00C6485D"/>
    <w:rsid w:val="00C66A84"/>
    <w:rsid w:val="00C6777F"/>
    <w:rsid w:val="00C67E35"/>
    <w:rsid w:val="00C7155E"/>
    <w:rsid w:val="00C728F2"/>
    <w:rsid w:val="00C738E8"/>
    <w:rsid w:val="00C740B5"/>
    <w:rsid w:val="00C757AE"/>
    <w:rsid w:val="00C757EA"/>
    <w:rsid w:val="00C759E2"/>
    <w:rsid w:val="00C770F3"/>
    <w:rsid w:val="00C77206"/>
    <w:rsid w:val="00C8332F"/>
    <w:rsid w:val="00C83536"/>
    <w:rsid w:val="00C839E4"/>
    <w:rsid w:val="00C8428F"/>
    <w:rsid w:val="00C84A63"/>
    <w:rsid w:val="00C8691D"/>
    <w:rsid w:val="00C924FF"/>
    <w:rsid w:val="00C92F8D"/>
    <w:rsid w:val="00C93BE1"/>
    <w:rsid w:val="00C94476"/>
    <w:rsid w:val="00C965AF"/>
    <w:rsid w:val="00C9788C"/>
    <w:rsid w:val="00C97BAF"/>
    <w:rsid w:val="00CA14BE"/>
    <w:rsid w:val="00CA3243"/>
    <w:rsid w:val="00CA42AD"/>
    <w:rsid w:val="00CA525E"/>
    <w:rsid w:val="00CA5854"/>
    <w:rsid w:val="00CB183E"/>
    <w:rsid w:val="00CB3BB1"/>
    <w:rsid w:val="00CB435B"/>
    <w:rsid w:val="00CB4F47"/>
    <w:rsid w:val="00CB7030"/>
    <w:rsid w:val="00CB7621"/>
    <w:rsid w:val="00CB76CF"/>
    <w:rsid w:val="00CB7AD9"/>
    <w:rsid w:val="00CC015F"/>
    <w:rsid w:val="00CC061E"/>
    <w:rsid w:val="00CC3603"/>
    <w:rsid w:val="00CC50AC"/>
    <w:rsid w:val="00CC70E5"/>
    <w:rsid w:val="00CC78A6"/>
    <w:rsid w:val="00CD08B7"/>
    <w:rsid w:val="00CD1795"/>
    <w:rsid w:val="00CD35F5"/>
    <w:rsid w:val="00CD4E6E"/>
    <w:rsid w:val="00CD634A"/>
    <w:rsid w:val="00CD6BA1"/>
    <w:rsid w:val="00CE06EC"/>
    <w:rsid w:val="00CE1B7A"/>
    <w:rsid w:val="00CE2846"/>
    <w:rsid w:val="00CE5193"/>
    <w:rsid w:val="00CE569D"/>
    <w:rsid w:val="00CE7032"/>
    <w:rsid w:val="00CE7685"/>
    <w:rsid w:val="00CE7B4D"/>
    <w:rsid w:val="00CF19DE"/>
    <w:rsid w:val="00CF3967"/>
    <w:rsid w:val="00CF4E22"/>
    <w:rsid w:val="00CF5D10"/>
    <w:rsid w:val="00D11274"/>
    <w:rsid w:val="00D146DA"/>
    <w:rsid w:val="00D14CCC"/>
    <w:rsid w:val="00D14FDE"/>
    <w:rsid w:val="00D16744"/>
    <w:rsid w:val="00D17191"/>
    <w:rsid w:val="00D23ED7"/>
    <w:rsid w:val="00D24FEC"/>
    <w:rsid w:val="00D3183A"/>
    <w:rsid w:val="00D334A1"/>
    <w:rsid w:val="00D34406"/>
    <w:rsid w:val="00D37302"/>
    <w:rsid w:val="00D40E26"/>
    <w:rsid w:val="00D418E1"/>
    <w:rsid w:val="00D4461F"/>
    <w:rsid w:val="00D44A27"/>
    <w:rsid w:val="00D45ACE"/>
    <w:rsid w:val="00D46157"/>
    <w:rsid w:val="00D478EE"/>
    <w:rsid w:val="00D60ED5"/>
    <w:rsid w:val="00D6118C"/>
    <w:rsid w:val="00D6151B"/>
    <w:rsid w:val="00D618DC"/>
    <w:rsid w:val="00D647C3"/>
    <w:rsid w:val="00D649FE"/>
    <w:rsid w:val="00D64EE9"/>
    <w:rsid w:val="00D65032"/>
    <w:rsid w:val="00D6641C"/>
    <w:rsid w:val="00D67899"/>
    <w:rsid w:val="00D80EEF"/>
    <w:rsid w:val="00D82BA5"/>
    <w:rsid w:val="00D86258"/>
    <w:rsid w:val="00D90F14"/>
    <w:rsid w:val="00D918E9"/>
    <w:rsid w:val="00D93124"/>
    <w:rsid w:val="00D93D31"/>
    <w:rsid w:val="00D950D8"/>
    <w:rsid w:val="00DA13AF"/>
    <w:rsid w:val="00DA1F5C"/>
    <w:rsid w:val="00DA32E7"/>
    <w:rsid w:val="00DA4694"/>
    <w:rsid w:val="00DA5AA4"/>
    <w:rsid w:val="00DA5F48"/>
    <w:rsid w:val="00DA63BE"/>
    <w:rsid w:val="00DB092D"/>
    <w:rsid w:val="00DB3C97"/>
    <w:rsid w:val="00DB3E79"/>
    <w:rsid w:val="00DB5351"/>
    <w:rsid w:val="00DC1102"/>
    <w:rsid w:val="00DC267D"/>
    <w:rsid w:val="00DC2D8F"/>
    <w:rsid w:val="00DC34C5"/>
    <w:rsid w:val="00DC4871"/>
    <w:rsid w:val="00DC595C"/>
    <w:rsid w:val="00DC645C"/>
    <w:rsid w:val="00DD043C"/>
    <w:rsid w:val="00DD32E3"/>
    <w:rsid w:val="00DD364C"/>
    <w:rsid w:val="00DD3C31"/>
    <w:rsid w:val="00DD4D07"/>
    <w:rsid w:val="00DD6314"/>
    <w:rsid w:val="00DE2BB4"/>
    <w:rsid w:val="00DE30B9"/>
    <w:rsid w:val="00DE5B62"/>
    <w:rsid w:val="00DE7A27"/>
    <w:rsid w:val="00DE7DB7"/>
    <w:rsid w:val="00DF06B2"/>
    <w:rsid w:val="00DF2DA4"/>
    <w:rsid w:val="00DF309C"/>
    <w:rsid w:val="00DF3391"/>
    <w:rsid w:val="00DF3606"/>
    <w:rsid w:val="00DF4548"/>
    <w:rsid w:val="00DF60B0"/>
    <w:rsid w:val="00DF78C4"/>
    <w:rsid w:val="00E0021C"/>
    <w:rsid w:val="00E0188C"/>
    <w:rsid w:val="00E02D9F"/>
    <w:rsid w:val="00E11FAE"/>
    <w:rsid w:val="00E136F8"/>
    <w:rsid w:val="00E1491A"/>
    <w:rsid w:val="00E15574"/>
    <w:rsid w:val="00E15961"/>
    <w:rsid w:val="00E203B3"/>
    <w:rsid w:val="00E2179A"/>
    <w:rsid w:val="00E323DB"/>
    <w:rsid w:val="00E365F2"/>
    <w:rsid w:val="00E373D0"/>
    <w:rsid w:val="00E4074B"/>
    <w:rsid w:val="00E40A6D"/>
    <w:rsid w:val="00E423E4"/>
    <w:rsid w:val="00E4279A"/>
    <w:rsid w:val="00E430F6"/>
    <w:rsid w:val="00E4318D"/>
    <w:rsid w:val="00E43C19"/>
    <w:rsid w:val="00E44C93"/>
    <w:rsid w:val="00E45562"/>
    <w:rsid w:val="00E457D1"/>
    <w:rsid w:val="00E47737"/>
    <w:rsid w:val="00E50D93"/>
    <w:rsid w:val="00E52281"/>
    <w:rsid w:val="00E53688"/>
    <w:rsid w:val="00E540F6"/>
    <w:rsid w:val="00E543D0"/>
    <w:rsid w:val="00E544DC"/>
    <w:rsid w:val="00E54FF2"/>
    <w:rsid w:val="00E556DE"/>
    <w:rsid w:val="00E57C92"/>
    <w:rsid w:val="00E62552"/>
    <w:rsid w:val="00E6789C"/>
    <w:rsid w:val="00E7001F"/>
    <w:rsid w:val="00E71BD0"/>
    <w:rsid w:val="00E71F4A"/>
    <w:rsid w:val="00E730C1"/>
    <w:rsid w:val="00E737E0"/>
    <w:rsid w:val="00E73F3A"/>
    <w:rsid w:val="00E805D8"/>
    <w:rsid w:val="00E809E7"/>
    <w:rsid w:val="00E81082"/>
    <w:rsid w:val="00E836B8"/>
    <w:rsid w:val="00E8392C"/>
    <w:rsid w:val="00E83A5A"/>
    <w:rsid w:val="00E849A0"/>
    <w:rsid w:val="00E84F5C"/>
    <w:rsid w:val="00E8530A"/>
    <w:rsid w:val="00E86D62"/>
    <w:rsid w:val="00E90F1F"/>
    <w:rsid w:val="00E91923"/>
    <w:rsid w:val="00E93346"/>
    <w:rsid w:val="00E96058"/>
    <w:rsid w:val="00E9659E"/>
    <w:rsid w:val="00E96B10"/>
    <w:rsid w:val="00E97584"/>
    <w:rsid w:val="00EA04A3"/>
    <w:rsid w:val="00EA27B0"/>
    <w:rsid w:val="00EA5F48"/>
    <w:rsid w:val="00EA6818"/>
    <w:rsid w:val="00EA6B75"/>
    <w:rsid w:val="00EA6DD2"/>
    <w:rsid w:val="00EB03D8"/>
    <w:rsid w:val="00EB5BBF"/>
    <w:rsid w:val="00EB5EDE"/>
    <w:rsid w:val="00EC0F6D"/>
    <w:rsid w:val="00EC3A29"/>
    <w:rsid w:val="00EC5911"/>
    <w:rsid w:val="00EC5956"/>
    <w:rsid w:val="00ED0CCB"/>
    <w:rsid w:val="00ED118F"/>
    <w:rsid w:val="00ED1B36"/>
    <w:rsid w:val="00ED1EDB"/>
    <w:rsid w:val="00ED286C"/>
    <w:rsid w:val="00ED708E"/>
    <w:rsid w:val="00EE41CC"/>
    <w:rsid w:val="00EE44AA"/>
    <w:rsid w:val="00EE5261"/>
    <w:rsid w:val="00EF0832"/>
    <w:rsid w:val="00EF6CE4"/>
    <w:rsid w:val="00EF709A"/>
    <w:rsid w:val="00EF7437"/>
    <w:rsid w:val="00EF7649"/>
    <w:rsid w:val="00F00945"/>
    <w:rsid w:val="00F038C0"/>
    <w:rsid w:val="00F04BC1"/>
    <w:rsid w:val="00F058DF"/>
    <w:rsid w:val="00F05A60"/>
    <w:rsid w:val="00F070CB"/>
    <w:rsid w:val="00F10B88"/>
    <w:rsid w:val="00F110BA"/>
    <w:rsid w:val="00F11421"/>
    <w:rsid w:val="00F132E1"/>
    <w:rsid w:val="00F154EE"/>
    <w:rsid w:val="00F15A98"/>
    <w:rsid w:val="00F160D4"/>
    <w:rsid w:val="00F174C4"/>
    <w:rsid w:val="00F176B9"/>
    <w:rsid w:val="00F238D0"/>
    <w:rsid w:val="00F243E2"/>
    <w:rsid w:val="00F244EB"/>
    <w:rsid w:val="00F253D9"/>
    <w:rsid w:val="00F25B22"/>
    <w:rsid w:val="00F26A2A"/>
    <w:rsid w:val="00F26E8A"/>
    <w:rsid w:val="00F30410"/>
    <w:rsid w:val="00F318D3"/>
    <w:rsid w:val="00F31C40"/>
    <w:rsid w:val="00F33DFC"/>
    <w:rsid w:val="00F34092"/>
    <w:rsid w:val="00F3553A"/>
    <w:rsid w:val="00F3668D"/>
    <w:rsid w:val="00F3708D"/>
    <w:rsid w:val="00F37E3A"/>
    <w:rsid w:val="00F402D1"/>
    <w:rsid w:val="00F4098C"/>
    <w:rsid w:val="00F41355"/>
    <w:rsid w:val="00F430F3"/>
    <w:rsid w:val="00F44D47"/>
    <w:rsid w:val="00F46897"/>
    <w:rsid w:val="00F50F4A"/>
    <w:rsid w:val="00F518F7"/>
    <w:rsid w:val="00F51E06"/>
    <w:rsid w:val="00F52949"/>
    <w:rsid w:val="00F53473"/>
    <w:rsid w:val="00F55E9F"/>
    <w:rsid w:val="00F55F91"/>
    <w:rsid w:val="00F57178"/>
    <w:rsid w:val="00F57961"/>
    <w:rsid w:val="00F617E7"/>
    <w:rsid w:val="00F61FA7"/>
    <w:rsid w:val="00F621D4"/>
    <w:rsid w:val="00F6477D"/>
    <w:rsid w:val="00F65CE7"/>
    <w:rsid w:val="00F666AB"/>
    <w:rsid w:val="00F70520"/>
    <w:rsid w:val="00F71FDC"/>
    <w:rsid w:val="00F7250E"/>
    <w:rsid w:val="00F730A0"/>
    <w:rsid w:val="00F813A7"/>
    <w:rsid w:val="00F8647E"/>
    <w:rsid w:val="00F91ACE"/>
    <w:rsid w:val="00F925C4"/>
    <w:rsid w:val="00F93C36"/>
    <w:rsid w:val="00F94856"/>
    <w:rsid w:val="00FA0428"/>
    <w:rsid w:val="00FA1EF5"/>
    <w:rsid w:val="00FA501A"/>
    <w:rsid w:val="00FA721C"/>
    <w:rsid w:val="00FA744E"/>
    <w:rsid w:val="00FB2F91"/>
    <w:rsid w:val="00FB4706"/>
    <w:rsid w:val="00FB52D4"/>
    <w:rsid w:val="00FB61D5"/>
    <w:rsid w:val="00FC19CA"/>
    <w:rsid w:val="00FC1D0B"/>
    <w:rsid w:val="00FC2D4C"/>
    <w:rsid w:val="00FC2D77"/>
    <w:rsid w:val="00FC2D9A"/>
    <w:rsid w:val="00FC336D"/>
    <w:rsid w:val="00FC42F1"/>
    <w:rsid w:val="00FC46CA"/>
    <w:rsid w:val="00FC4BC8"/>
    <w:rsid w:val="00FC79F3"/>
    <w:rsid w:val="00FD120B"/>
    <w:rsid w:val="00FD3794"/>
    <w:rsid w:val="00FD3E45"/>
    <w:rsid w:val="00FD451E"/>
    <w:rsid w:val="00FD4807"/>
    <w:rsid w:val="00FD787F"/>
    <w:rsid w:val="00FE009E"/>
    <w:rsid w:val="00FE08F4"/>
    <w:rsid w:val="00FE146C"/>
    <w:rsid w:val="00FE149F"/>
    <w:rsid w:val="00FE2C0C"/>
    <w:rsid w:val="00FE70C2"/>
    <w:rsid w:val="00FE7844"/>
    <w:rsid w:val="00FE79CE"/>
    <w:rsid w:val="00FF0CA4"/>
    <w:rsid w:val="00FF1BE5"/>
    <w:rsid w:val="00FF3595"/>
    <w:rsid w:val="00FF3665"/>
    <w:rsid w:val="00FF626F"/>
    <w:rsid w:val="00FF6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5E6A3E"/>
  <w15:chartTrackingRefBased/>
  <w15:docId w15:val="{678866A1-604B-4107-85C6-5183BD2B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5F15"/>
    <w:pPr>
      <w:overflowPunct w:val="0"/>
      <w:autoSpaceDE w:val="0"/>
      <w:autoSpaceDN w:val="0"/>
      <w:adjustRightInd w:val="0"/>
      <w:textAlignment w:val="baseline"/>
    </w:pPr>
    <w:rPr>
      <w:sz w:val="22"/>
    </w:rPr>
  </w:style>
  <w:style w:type="paragraph" w:styleId="Heading1">
    <w:name w:val="heading 1"/>
    <w:basedOn w:val="Normal"/>
    <w:link w:val="Heading1Char"/>
    <w:qFormat/>
    <w:pPr>
      <w:tabs>
        <w:tab w:val="left" w:pos="600"/>
      </w:tabs>
      <w:spacing w:line="240" w:lineRule="atLeast"/>
      <w:ind w:left="300" w:hanging="300"/>
      <w:outlineLvl w:val="0"/>
    </w:pPr>
  </w:style>
  <w:style w:type="paragraph" w:styleId="Heading2">
    <w:name w:val="heading 2"/>
    <w:basedOn w:val="Normal"/>
    <w:qFormat/>
    <w:pPr>
      <w:tabs>
        <w:tab w:val="left" w:pos="600"/>
      </w:tabs>
      <w:spacing w:line="240" w:lineRule="atLeast"/>
      <w:ind w:left="600" w:hanging="300"/>
      <w:outlineLvl w:val="1"/>
    </w:pPr>
  </w:style>
  <w:style w:type="paragraph" w:styleId="Heading3">
    <w:name w:val="heading 3"/>
    <w:basedOn w:val="Normal"/>
    <w:link w:val="Heading3Char"/>
    <w:qFormat/>
    <w:pPr>
      <w:tabs>
        <w:tab w:val="left" w:pos="900"/>
      </w:tabs>
      <w:spacing w:line="240" w:lineRule="atLeast"/>
      <w:ind w:left="900" w:hanging="300"/>
      <w:outlineLvl w:val="2"/>
    </w:pPr>
  </w:style>
  <w:style w:type="paragraph" w:styleId="Heading4">
    <w:name w:val="heading 4"/>
    <w:basedOn w:val="Normal"/>
    <w:qFormat/>
    <w:pPr>
      <w:numPr>
        <w:numId w:val="2"/>
      </w:numPr>
      <w:tabs>
        <w:tab w:val="left" w:pos="1200"/>
      </w:tabs>
      <w:spacing w:line="240" w:lineRule="atLeast"/>
      <w:outlineLvl w:val="3"/>
    </w:pPr>
  </w:style>
  <w:style w:type="paragraph" w:styleId="Heading5">
    <w:name w:val="heading 5"/>
    <w:basedOn w:val="Normal"/>
    <w:qFormat/>
    <w:pPr>
      <w:tabs>
        <w:tab w:val="left" w:pos="1500"/>
      </w:tabs>
      <w:spacing w:line="240" w:lineRule="atLeast"/>
      <w:ind w:left="1500" w:hanging="300"/>
      <w:outlineLvl w:val="4"/>
    </w:pPr>
  </w:style>
  <w:style w:type="paragraph" w:styleId="Heading6">
    <w:name w:val="heading 6"/>
    <w:basedOn w:val="Normal"/>
    <w:qFormat/>
    <w:pPr>
      <w:tabs>
        <w:tab w:val="left" w:pos="1800"/>
      </w:tabs>
      <w:spacing w:line="240" w:lineRule="atLeast"/>
      <w:ind w:left="1800" w:hanging="300"/>
      <w:outlineLvl w:val="5"/>
    </w:pPr>
  </w:style>
  <w:style w:type="paragraph" w:styleId="Heading7">
    <w:name w:val="heading 7"/>
    <w:basedOn w:val="Normal"/>
    <w:qFormat/>
    <w:pPr>
      <w:tabs>
        <w:tab w:val="left" w:pos="2100"/>
      </w:tabs>
      <w:spacing w:line="240" w:lineRule="exact"/>
      <w:ind w:left="2100" w:hanging="300"/>
      <w:outlineLvl w:val="6"/>
    </w:pPr>
    <w:rPr>
      <w:sz w:val="24"/>
    </w:rPr>
  </w:style>
  <w:style w:type="paragraph" w:styleId="Heading8">
    <w:name w:val="heading 8"/>
    <w:basedOn w:val="Normal"/>
    <w:next w:val="Normal"/>
    <w:qFormat/>
    <w:pPr>
      <w:tabs>
        <w:tab w:val="left" w:pos="2400"/>
      </w:tabs>
      <w:spacing w:before="100" w:after="100"/>
      <w:ind w:left="2400" w:hanging="300"/>
      <w:outlineLvl w:val="7"/>
    </w:pPr>
  </w:style>
  <w:style w:type="paragraph" w:styleId="Heading9">
    <w:name w:val="heading 9"/>
    <w:basedOn w:val="Normal"/>
    <w:qFormat/>
    <w:pPr>
      <w:tabs>
        <w:tab w:val="left" w:pos="3000"/>
      </w:tabs>
      <w:ind w:left="3000" w:hanging="30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customStyle="1" w:styleId="i1">
    <w:name w:val="i1"/>
    <w:basedOn w:val="Normal"/>
    <w:pPr>
      <w:spacing w:line="240" w:lineRule="atLeast"/>
      <w:ind w:left="300" w:hanging="300"/>
    </w:pPr>
    <w:rPr>
      <w:sz w:val="20"/>
    </w:rPr>
  </w:style>
  <w:style w:type="paragraph" w:customStyle="1" w:styleId="i2">
    <w:name w:val="i2"/>
    <w:basedOn w:val="Normal"/>
    <w:pPr>
      <w:tabs>
        <w:tab w:val="left" w:pos="600"/>
      </w:tabs>
      <w:spacing w:line="240" w:lineRule="atLeast"/>
      <w:ind w:left="600" w:hanging="300"/>
    </w:pPr>
    <w:rPr>
      <w:sz w:val="20"/>
    </w:rPr>
  </w:style>
  <w:style w:type="paragraph" w:customStyle="1" w:styleId="l1">
    <w:name w:val="l1"/>
    <w:basedOn w:val="i2"/>
    <w:pPr>
      <w:tabs>
        <w:tab w:val="left" w:pos="300"/>
      </w:tabs>
      <w:ind w:left="300"/>
    </w:pPr>
  </w:style>
  <w:style w:type="paragraph" w:customStyle="1" w:styleId="i4">
    <w:name w:val="i4"/>
    <w:basedOn w:val="Normal"/>
    <w:pPr>
      <w:tabs>
        <w:tab w:val="left" w:pos="600"/>
        <w:tab w:val="left" w:pos="900"/>
        <w:tab w:val="left" w:pos="1200"/>
      </w:tabs>
      <w:ind w:left="1200" w:hanging="300"/>
    </w:pPr>
    <w:rPr>
      <w:sz w:val="20"/>
    </w:rPr>
  </w:style>
  <w:style w:type="paragraph" w:customStyle="1" w:styleId="i3">
    <w:name w:val="i3"/>
    <w:basedOn w:val="i2"/>
    <w:pPr>
      <w:tabs>
        <w:tab w:val="clear" w:pos="600"/>
        <w:tab w:val="left" w:pos="900"/>
      </w:tabs>
      <w:ind w:left="900"/>
    </w:pPr>
  </w:style>
  <w:style w:type="paragraph" w:customStyle="1" w:styleId="i5">
    <w:name w:val="i5"/>
    <w:basedOn w:val="i4"/>
    <w:pPr>
      <w:tabs>
        <w:tab w:val="clear" w:pos="600"/>
        <w:tab w:val="clear" w:pos="900"/>
        <w:tab w:val="clear" w:pos="1200"/>
        <w:tab w:val="left" w:pos="1500"/>
      </w:tabs>
      <w:spacing w:line="240" w:lineRule="atLeast"/>
      <w:ind w:left="1500"/>
    </w:pPr>
  </w:style>
  <w:style w:type="paragraph" w:customStyle="1" w:styleId="Code">
    <w:name w:val="Code"/>
    <w:basedOn w:val="Normal"/>
    <w:pPr>
      <w:tabs>
        <w:tab w:val="right" w:pos="300"/>
        <w:tab w:val="right" w:pos="900"/>
        <w:tab w:val="left" w:pos="1000"/>
      </w:tabs>
      <w:ind w:left="920" w:hanging="820"/>
    </w:pPr>
    <w:rPr>
      <w:b/>
      <w:sz w:val="36"/>
    </w:rPr>
  </w:style>
  <w:style w:type="paragraph" w:customStyle="1" w:styleId="11Example3col">
    <w:name w:val="1_1_Example 3col"/>
    <w:pPr>
      <w:tabs>
        <w:tab w:val="left" w:pos="1200"/>
        <w:tab w:val="right" w:pos="4800"/>
        <w:tab w:val="right" w:pos="6000"/>
        <w:tab w:val="right" w:pos="7200"/>
      </w:tabs>
      <w:overflowPunct w:val="0"/>
      <w:autoSpaceDE w:val="0"/>
      <w:autoSpaceDN w:val="0"/>
      <w:adjustRightInd w:val="0"/>
      <w:spacing w:line="360" w:lineRule="exact"/>
      <w:ind w:left="600"/>
      <w:jc w:val="both"/>
      <w:textAlignment w:val="baseline"/>
    </w:pPr>
    <w:rPr>
      <w:rFonts w:ascii="Courier" w:hAnsi="Courier"/>
      <w:sz w:val="24"/>
    </w:rPr>
  </w:style>
  <w:style w:type="paragraph" w:customStyle="1" w:styleId="border">
    <w:name w:val="border"/>
    <w:basedOn w:val="Normal"/>
    <w:pPr>
      <w:keepLines/>
      <w:pBdr>
        <w:top w:val="single" w:sz="18" w:space="5" w:color="000000"/>
        <w:left w:val="single" w:sz="18" w:space="5" w:color="000000"/>
        <w:bottom w:val="single" w:sz="18" w:space="5" w:color="000000"/>
        <w:right w:val="single" w:sz="18" w:space="5" w:color="000000"/>
      </w:pBdr>
      <w:tabs>
        <w:tab w:val="left" w:pos="1728"/>
      </w:tabs>
      <w:jc w:val="both"/>
    </w:pPr>
    <w:rPr>
      <w:b/>
    </w:rPr>
  </w:style>
  <w:style w:type="paragraph" w:styleId="BodyText">
    <w:name w:val="Body Text"/>
    <w:basedOn w:val="Normal"/>
    <w:pPr>
      <w:tabs>
        <w:tab w:val="left" w:pos="1800"/>
        <w:tab w:val="right" w:pos="5130"/>
        <w:tab w:val="right" w:pos="6750"/>
      </w:tabs>
      <w:jc w:val="both"/>
    </w:pPr>
    <w:rPr>
      <w:sz w:val="20"/>
    </w:rPr>
  </w:style>
  <w:style w:type="paragraph" w:customStyle="1" w:styleId="BodyText21">
    <w:name w:val="Body Text 21"/>
    <w:basedOn w:val="Normal"/>
    <w:pPr>
      <w:tabs>
        <w:tab w:val="left" w:pos="990"/>
        <w:tab w:val="decimal" w:pos="1260"/>
      </w:tabs>
      <w:ind w:left="270"/>
    </w:pPr>
  </w:style>
  <w:style w:type="paragraph" w:customStyle="1" w:styleId="11stleveloutline">
    <w:name w:val="1_1st level outline"/>
    <w:pPr>
      <w:tabs>
        <w:tab w:val="left" w:pos="600"/>
      </w:tabs>
      <w:overflowPunct w:val="0"/>
      <w:autoSpaceDE w:val="0"/>
      <w:autoSpaceDN w:val="0"/>
      <w:adjustRightInd w:val="0"/>
      <w:spacing w:before="240" w:after="240" w:line="240" w:lineRule="exact"/>
      <w:ind w:left="600" w:hanging="600"/>
      <w:jc w:val="center"/>
      <w:textAlignment w:val="baseline"/>
    </w:pPr>
    <w:rPr>
      <w:rFonts w:ascii="Courier" w:hAnsi="Courier"/>
      <w:sz w:val="24"/>
    </w:rPr>
  </w:style>
  <w:style w:type="paragraph" w:customStyle="1" w:styleId="12ndleveloutline">
    <w:name w:val="1_2nd level outline"/>
    <w:pPr>
      <w:keepNext/>
      <w:keepLines/>
      <w:tabs>
        <w:tab w:val="left" w:pos="1200"/>
      </w:tabs>
      <w:overflowPunct w:val="0"/>
      <w:autoSpaceDE w:val="0"/>
      <w:autoSpaceDN w:val="0"/>
      <w:adjustRightInd w:val="0"/>
      <w:spacing w:before="240" w:line="240" w:lineRule="exact"/>
      <w:textAlignment w:val="baseline"/>
    </w:pPr>
    <w:rPr>
      <w:rFonts w:ascii="Courier" w:hAnsi="Courier"/>
      <w:sz w:val="24"/>
    </w:rPr>
  </w:style>
  <w:style w:type="paragraph" w:customStyle="1" w:styleId="13dleveloutline">
    <w:name w:val="1_3d level outline"/>
    <w:pPr>
      <w:keepNext/>
      <w:tabs>
        <w:tab w:val="left" w:pos="1800"/>
      </w:tabs>
      <w:overflowPunct w:val="0"/>
      <w:autoSpaceDE w:val="0"/>
      <w:autoSpaceDN w:val="0"/>
      <w:adjustRightInd w:val="0"/>
      <w:spacing w:before="240" w:line="240" w:lineRule="exact"/>
      <w:jc w:val="center"/>
      <w:textAlignment w:val="baseline"/>
    </w:pPr>
    <w:rPr>
      <w:rFonts w:ascii="Courier" w:hAnsi="Courier"/>
      <w:sz w:val="24"/>
    </w:rPr>
  </w:style>
  <w:style w:type="paragraph" w:customStyle="1" w:styleId="1Example3col">
    <w:name w:val="1_Example 3col"/>
    <w:pPr>
      <w:tabs>
        <w:tab w:val="left" w:pos="1200"/>
        <w:tab w:val="right" w:pos="4800"/>
        <w:tab w:val="right" w:pos="6000"/>
        <w:tab w:val="right" w:pos="7200"/>
      </w:tabs>
      <w:overflowPunct w:val="0"/>
      <w:autoSpaceDE w:val="0"/>
      <w:autoSpaceDN w:val="0"/>
      <w:adjustRightInd w:val="0"/>
      <w:spacing w:line="360" w:lineRule="exact"/>
      <w:ind w:left="600"/>
      <w:jc w:val="both"/>
      <w:textAlignment w:val="baseline"/>
    </w:pPr>
    <w:rPr>
      <w:rFonts w:ascii="Courier" w:hAnsi="Courier"/>
      <w:sz w:val="24"/>
    </w:rPr>
  </w:style>
  <w:style w:type="paragraph" w:customStyle="1" w:styleId="1footnotetext">
    <w:name w:val="1_footnote text"/>
    <w:pPr>
      <w:tabs>
        <w:tab w:val="left" w:pos="600"/>
      </w:tabs>
      <w:overflowPunct w:val="0"/>
      <w:autoSpaceDE w:val="0"/>
      <w:autoSpaceDN w:val="0"/>
      <w:adjustRightInd w:val="0"/>
      <w:spacing w:line="240" w:lineRule="exact"/>
      <w:ind w:left="600" w:hanging="600"/>
      <w:jc w:val="both"/>
      <w:textAlignment w:val="baseline"/>
    </w:pPr>
    <w:rPr>
      <w:rFonts w:ascii="Courier" w:hAnsi="Courier"/>
    </w:rPr>
  </w:style>
  <w:style w:type="paragraph" w:customStyle="1" w:styleId="1outlinelevel4">
    <w:name w:val="1_outline level 4"/>
    <w:pPr>
      <w:tabs>
        <w:tab w:val="left" w:pos="2400"/>
      </w:tabs>
      <w:overflowPunct w:val="0"/>
      <w:autoSpaceDE w:val="0"/>
      <w:autoSpaceDN w:val="0"/>
      <w:adjustRightInd w:val="0"/>
      <w:spacing w:line="360" w:lineRule="exact"/>
      <w:ind w:left="2400" w:hanging="600"/>
      <w:jc w:val="both"/>
      <w:textAlignment w:val="baseline"/>
    </w:pPr>
    <w:rPr>
      <w:rFonts w:ascii="Courier" w:hAnsi="Courier"/>
      <w:sz w:val="24"/>
    </w:rPr>
  </w:style>
  <w:style w:type="paragraph" w:customStyle="1" w:styleId="1outlinelevel5">
    <w:name w:val="1_outline level 5"/>
    <w:pPr>
      <w:tabs>
        <w:tab w:val="left" w:pos="3000"/>
      </w:tabs>
      <w:overflowPunct w:val="0"/>
      <w:autoSpaceDE w:val="0"/>
      <w:autoSpaceDN w:val="0"/>
      <w:adjustRightInd w:val="0"/>
      <w:spacing w:line="240" w:lineRule="exact"/>
      <w:ind w:left="3000" w:hanging="600"/>
      <w:jc w:val="both"/>
      <w:textAlignment w:val="baseline"/>
    </w:pPr>
    <w:rPr>
      <w:rFonts w:ascii="Courier" w:hAnsi="Courier"/>
      <w:sz w:val="24"/>
    </w:rPr>
  </w:style>
  <w:style w:type="paragraph" w:customStyle="1" w:styleId="1stleveloutline">
    <w:name w:val="1st level outline"/>
    <w:basedOn w:val="Normal"/>
    <w:pPr>
      <w:tabs>
        <w:tab w:val="left" w:pos="720"/>
      </w:tabs>
      <w:spacing w:line="240" w:lineRule="exact"/>
      <w:jc w:val="both"/>
    </w:pPr>
  </w:style>
  <w:style w:type="paragraph" w:customStyle="1" w:styleId="1stbold">
    <w:name w:val="1st bold"/>
    <w:basedOn w:val="1stleveloutline"/>
    <w:next w:val="Normal"/>
    <w:rPr>
      <w:b/>
    </w:rPr>
  </w:style>
  <w:style w:type="paragraph" w:customStyle="1" w:styleId="1stleveloutlinedo">
    <w:name w:val="1st level outline do"/>
    <w:pPr>
      <w:tabs>
        <w:tab w:val="left" w:pos="120"/>
        <w:tab w:val="left" w:pos="600"/>
      </w:tabs>
      <w:overflowPunct w:val="0"/>
      <w:autoSpaceDE w:val="0"/>
      <w:autoSpaceDN w:val="0"/>
      <w:adjustRightInd w:val="0"/>
      <w:spacing w:line="360" w:lineRule="exact"/>
      <w:ind w:left="600" w:hanging="600"/>
      <w:jc w:val="both"/>
      <w:textAlignment w:val="baseline"/>
    </w:pPr>
    <w:rPr>
      <w:rFonts w:ascii="Courier" w:hAnsi="Courier"/>
      <w:sz w:val="24"/>
    </w:rPr>
  </w:style>
  <w:style w:type="paragraph" w:customStyle="1" w:styleId="22ndleveloutline">
    <w:name w:val="2_2nd level outline"/>
    <w:pPr>
      <w:tabs>
        <w:tab w:val="left" w:pos="1200"/>
        <w:tab w:val="left" w:pos="1440"/>
      </w:tabs>
      <w:overflowPunct w:val="0"/>
      <w:autoSpaceDE w:val="0"/>
      <w:autoSpaceDN w:val="0"/>
      <w:adjustRightInd w:val="0"/>
      <w:spacing w:line="240" w:lineRule="exact"/>
      <w:ind w:left="1800" w:hanging="1800"/>
      <w:jc w:val="both"/>
      <w:textAlignment w:val="baseline"/>
    </w:pPr>
    <w:rPr>
      <w:rFonts w:ascii="Courier" w:hAnsi="Courier"/>
      <w:sz w:val="24"/>
    </w:rPr>
  </w:style>
  <w:style w:type="paragraph" w:customStyle="1" w:styleId="2outlinelevel4">
    <w:name w:val="2_outline level 4"/>
    <w:pPr>
      <w:tabs>
        <w:tab w:val="left" w:pos="2400"/>
      </w:tabs>
      <w:overflowPunct w:val="0"/>
      <w:autoSpaceDE w:val="0"/>
      <w:autoSpaceDN w:val="0"/>
      <w:adjustRightInd w:val="0"/>
      <w:spacing w:line="240" w:lineRule="exact"/>
      <w:ind w:left="2400" w:hanging="600"/>
      <w:jc w:val="both"/>
      <w:textAlignment w:val="baseline"/>
    </w:pPr>
    <w:rPr>
      <w:rFonts w:ascii="Courier" w:hAnsi="Courier"/>
      <w:sz w:val="24"/>
    </w:rPr>
  </w:style>
  <w:style w:type="paragraph" w:customStyle="1" w:styleId="2dleveloutlinedou">
    <w:name w:val="2d level outline dou"/>
    <w:pPr>
      <w:tabs>
        <w:tab w:val="left" w:pos="1200"/>
      </w:tabs>
      <w:overflowPunct w:val="0"/>
      <w:autoSpaceDE w:val="0"/>
      <w:autoSpaceDN w:val="0"/>
      <w:adjustRightInd w:val="0"/>
      <w:spacing w:line="360" w:lineRule="exact"/>
      <w:ind w:left="1200" w:hanging="600"/>
      <w:jc w:val="both"/>
      <w:textAlignment w:val="baseline"/>
    </w:pPr>
    <w:rPr>
      <w:rFonts w:ascii="Courier" w:hAnsi="Courier"/>
      <w:sz w:val="24"/>
    </w:rPr>
  </w:style>
  <w:style w:type="paragraph" w:customStyle="1" w:styleId="2ndleveloutline">
    <w:name w:val="2nd level outline"/>
    <w:basedOn w:val="1stleveloutline"/>
    <w:pPr>
      <w:tabs>
        <w:tab w:val="clear" w:pos="720"/>
        <w:tab w:val="left" w:pos="144"/>
        <w:tab w:val="left" w:pos="1080"/>
      </w:tabs>
      <w:ind w:left="1080" w:hanging="360"/>
    </w:pPr>
  </w:style>
  <w:style w:type="paragraph" w:customStyle="1" w:styleId="3dleveloutline">
    <w:name w:val="3d level outline"/>
    <w:pPr>
      <w:tabs>
        <w:tab w:val="left" w:pos="1800"/>
        <w:tab w:val="left" w:pos="2160"/>
      </w:tabs>
      <w:overflowPunct w:val="0"/>
      <w:autoSpaceDE w:val="0"/>
      <w:autoSpaceDN w:val="0"/>
      <w:adjustRightInd w:val="0"/>
      <w:spacing w:line="240" w:lineRule="exact"/>
      <w:ind w:left="2160" w:hanging="720"/>
      <w:jc w:val="both"/>
      <w:textAlignment w:val="baseline"/>
    </w:pPr>
    <w:rPr>
      <w:rFonts w:ascii="Times" w:hAnsi="Times"/>
      <w:sz w:val="24"/>
    </w:rPr>
  </w:style>
  <w:style w:type="paragraph" w:customStyle="1" w:styleId="3dleveloutlinedou">
    <w:name w:val="3d level outline dou"/>
    <w:pPr>
      <w:tabs>
        <w:tab w:val="left" w:pos="1800"/>
      </w:tabs>
      <w:overflowPunct w:val="0"/>
      <w:autoSpaceDE w:val="0"/>
      <w:autoSpaceDN w:val="0"/>
      <w:adjustRightInd w:val="0"/>
      <w:spacing w:line="360" w:lineRule="exact"/>
      <w:ind w:left="1800" w:hanging="600"/>
      <w:jc w:val="both"/>
      <w:textAlignment w:val="baseline"/>
    </w:pPr>
    <w:rPr>
      <w:rFonts w:ascii="Courier" w:hAnsi="Courier"/>
      <w:sz w:val="24"/>
    </w:rPr>
  </w:style>
  <w:style w:type="paragraph" w:customStyle="1" w:styleId="4thleveloutline">
    <w:name w:val="4th level outline"/>
    <w:basedOn w:val="Normal"/>
    <w:pPr>
      <w:tabs>
        <w:tab w:val="left" w:pos="144"/>
        <w:tab w:val="left" w:pos="2160"/>
      </w:tabs>
      <w:ind w:left="2160" w:hanging="720"/>
    </w:pPr>
  </w:style>
  <w:style w:type="paragraph" w:customStyle="1" w:styleId="Blockdoublespace">
    <w:name w:val="Block double space"/>
    <w:pPr>
      <w:overflowPunct w:val="0"/>
      <w:autoSpaceDE w:val="0"/>
      <w:autoSpaceDN w:val="0"/>
      <w:adjustRightInd w:val="0"/>
      <w:spacing w:line="360" w:lineRule="exact"/>
      <w:jc w:val="both"/>
      <w:textAlignment w:val="baseline"/>
    </w:pPr>
    <w:rPr>
      <w:rFonts w:ascii="Courier" w:hAnsi="Courier"/>
      <w:sz w:val="24"/>
    </w:rPr>
  </w:style>
  <w:style w:type="paragraph" w:customStyle="1" w:styleId="DA">
    <w:name w:val="DA"/>
    <w:pPr>
      <w:overflowPunct w:val="0"/>
      <w:autoSpaceDE w:val="0"/>
      <w:autoSpaceDN w:val="0"/>
      <w:adjustRightInd w:val="0"/>
      <w:spacing w:line="240" w:lineRule="exact"/>
      <w:jc w:val="right"/>
      <w:textAlignment w:val="baseline"/>
    </w:pPr>
    <w:rPr>
      <w:rFonts w:ascii="Courier" w:hAnsi="Courier"/>
      <w:sz w:val="24"/>
    </w:rPr>
  </w:style>
  <w:style w:type="paragraph" w:customStyle="1" w:styleId="E2">
    <w:name w:val="E2"/>
    <w:pPr>
      <w:tabs>
        <w:tab w:val="right" w:pos="1200"/>
        <w:tab w:val="right" w:pos="2400"/>
        <w:tab w:val="right" w:pos="3480"/>
        <w:tab w:val="right" w:pos="4560"/>
        <w:tab w:val="right" w:pos="5040"/>
        <w:tab w:val="right" w:pos="6000"/>
        <w:tab w:val="right" w:pos="7080"/>
        <w:tab w:val="right" w:pos="8160"/>
      </w:tabs>
      <w:overflowPunct w:val="0"/>
      <w:autoSpaceDE w:val="0"/>
      <w:autoSpaceDN w:val="0"/>
      <w:adjustRightInd w:val="0"/>
      <w:spacing w:line="240" w:lineRule="exact"/>
      <w:ind w:left="600" w:hanging="600"/>
      <w:jc w:val="both"/>
      <w:textAlignment w:val="baseline"/>
    </w:pPr>
    <w:rPr>
      <w:rFonts w:ascii="Courier" w:hAnsi="Courier"/>
      <w:sz w:val="24"/>
    </w:rPr>
  </w:style>
  <w:style w:type="paragraph" w:customStyle="1" w:styleId="E5">
    <w:name w:val="E5"/>
    <w:pPr>
      <w:tabs>
        <w:tab w:val="right" w:pos="960"/>
        <w:tab w:val="right" w:pos="1440"/>
        <w:tab w:val="right" w:pos="1920"/>
        <w:tab w:val="right" w:pos="2400"/>
        <w:tab w:val="right" w:pos="2880"/>
        <w:tab w:val="right" w:pos="3360"/>
        <w:tab w:val="right" w:pos="3840"/>
        <w:tab w:val="right" w:pos="4320"/>
        <w:tab w:val="right" w:pos="4800"/>
        <w:tab w:val="right" w:pos="5280"/>
        <w:tab w:val="right" w:pos="5760"/>
        <w:tab w:val="right" w:pos="6240"/>
        <w:tab w:val="right" w:pos="6720"/>
        <w:tab w:val="right" w:pos="7200"/>
        <w:tab w:val="right" w:pos="7680"/>
        <w:tab w:val="right" w:pos="8160"/>
        <w:tab w:val="right" w:pos="8640"/>
      </w:tabs>
      <w:overflowPunct w:val="0"/>
      <w:autoSpaceDE w:val="0"/>
      <w:autoSpaceDN w:val="0"/>
      <w:adjustRightInd w:val="0"/>
      <w:spacing w:line="240" w:lineRule="exact"/>
      <w:jc w:val="both"/>
      <w:textAlignment w:val="baseline"/>
    </w:pPr>
    <w:rPr>
      <w:rFonts w:ascii="Courier" w:hAnsi="Courier"/>
      <w:sz w:val="24"/>
    </w:rPr>
  </w:style>
  <w:style w:type="paragraph" w:customStyle="1" w:styleId="Example3col">
    <w:name w:val="Example 3col"/>
    <w:pPr>
      <w:tabs>
        <w:tab w:val="left" w:pos="1200"/>
        <w:tab w:val="right" w:pos="4800"/>
        <w:tab w:val="right" w:pos="6000"/>
        <w:tab w:val="right" w:pos="7200"/>
      </w:tabs>
      <w:overflowPunct w:val="0"/>
      <w:autoSpaceDE w:val="0"/>
      <w:autoSpaceDN w:val="0"/>
      <w:adjustRightInd w:val="0"/>
      <w:spacing w:line="240" w:lineRule="exact"/>
      <w:ind w:left="120"/>
      <w:jc w:val="both"/>
      <w:textAlignment w:val="baseline"/>
    </w:pPr>
    <w:rPr>
      <w:rFonts w:ascii="Courier" w:hAnsi="Courier"/>
      <w:sz w:val="24"/>
    </w:rPr>
  </w:style>
  <w:style w:type="paragraph" w:customStyle="1" w:styleId="Example4colrt">
    <w:name w:val="Example 4 col rt"/>
    <w:pPr>
      <w:tabs>
        <w:tab w:val="left" w:pos="6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s>
      <w:overflowPunct w:val="0"/>
      <w:autoSpaceDE w:val="0"/>
      <w:autoSpaceDN w:val="0"/>
      <w:adjustRightInd w:val="0"/>
      <w:spacing w:line="240" w:lineRule="exact"/>
      <w:jc w:val="both"/>
      <w:textAlignment w:val="baseline"/>
    </w:pPr>
    <w:rPr>
      <w:rFonts w:ascii="Courier" w:hAnsi="Courier"/>
      <w:sz w:val="24"/>
    </w:rPr>
  </w:style>
  <w:style w:type="paragraph" w:customStyle="1" w:styleId="Example4colrtinde">
    <w:name w:val="Example 4col rt inde"/>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overflowPunct w:val="0"/>
      <w:autoSpaceDE w:val="0"/>
      <w:autoSpaceDN w:val="0"/>
      <w:adjustRightInd w:val="0"/>
      <w:spacing w:line="240" w:lineRule="exact"/>
      <w:ind w:left="600"/>
      <w:jc w:val="both"/>
      <w:textAlignment w:val="baseline"/>
    </w:pPr>
    <w:rPr>
      <w:rFonts w:ascii="Courier" w:hAnsi="Courier"/>
      <w:sz w:val="24"/>
    </w:rPr>
  </w:style>
  <w:style w:type="paragraph" w:customStyle="1" w:styleId="Flushleft">
    <w:name w:val="Flush left"/>
    <w:pPr>
      <w:tabs>
        <w:tab w:val="left" w:pos="1440"/>
        <w:tab w:val="left" w:pos="6192"/>
      </w:tabs>
      <w:overflowPunct w:val="0"/>
      <w:autoSpaceDE w:val="0"/>
      <w:autoSpaceDN w:val="0"/>
      <w:adjustRightInd w:val="0"/>
      <w:spacing w:line="240" w:lineRule="exact"/>
      <w:textAlignment w:val="baseline"/>
    </w:pPr>
    <w:rPr>
      <w:rFonts w:ascii="emperorPS" w:hAnsi="emperorPS"/>
    </w:rPr>
  </w:style>
  <w:style w:type="paragraph" w:styleId="Footer">
    <w:name w:val="footer"/>
    <w:basedOn w:val="Normal"/>
    <w:pPr>
      <w:tabs>
        <w:tab w:val="center" w:pos="4320"/>
        <w:tab w:val="right" w:pos="8640"/>
      </w:tabs>
    </w:pPr>
    <w:rPr>
      <w:sz w:val="20"/>
    </w:rPr>
  </w:style>
  <w:style w:type="paragraph" w:styleId="Header">
    <w:name w:val="header"/>
    <w:basedOn w:val="Normal"/>
    <w:link w:val="HeaderChar"/>
    <w:pPr>
      <w:tabs>
        <w:tab w:val="center" w:pos="4320"/>
        <w:tab w:val="right" w:pos="8640"/>
      </w:tabs>
      <w:spacing w:line="240" w:lineRule="exact"/>
    </w:pPr>
    <w:rPr>
      <w:rFonts w:ascii="Courier" w:hAnsi="Courier"/>
      <w:caps/>
      <w:sz w:val="20"/>
    </w:rPr>
  </w:style>
  <w:style w:type="paragraph" w:customStyle="1" w:styleId="I9">
    <w:name w:val="I9"/>
    <w:pPr>
      <w:tabs>
        <w:tab w:val="left" w:pos="600"/>
        <w:tab w:val="left" w:pos="1152"/>
      </w:tabs>
      <w:overflowPunct w:val="0"/>
      <w:autoSpaceDE w:val="0"/>
      <w:autoSpaceDN w:val="0"/>
      <w:adjustRightInd w:val="0"/>
      <w:spacing w:line="240" w:lineRule="exact"/>
      <w:ind w:left="1152" w:hanging="1152"/>
      <w:textAlignment w:val="baseline"/>
    </w:pPr>
    <w:rPr>
      <w:rFonts w:ascii="Courier" w:hAnsi="Courier"/>
    </w:rPr>
  </w:style>
  <w:style w:type="paragraph" w:customStyle="1" w:styleId="IN">
    <w:name w:val="IN"/>
    <w:pPr>
      <w:overflowPunct w:val="0"/>
      <w:autoSpaceDE w:val="0"/>
      <w:autoSpaceDN w:val="0"/>
      <w:adjustRightInd w:val="0"/>
      <w:spacing w:line="240" w:lineRule="exact"/>
      <w:jc w:val="center"/>
      <w:textAlignment w:val="baseline"/>
    </w:pPr>
    <w:rPr>
      <w:rFonts w:ascii="Courier" w:hAnsi="Courier"/>
      <w:sz w:val="24"/>
    </w:rPr>
  </w:style>
  <w:style w:type="paragraph" w:customStyle="1" w:styleId="L2">
    <w:name w:val="L2"/>
    <w:pPr>
      <w:overflowPunct w:val="0"/>
      <w:autoSpaceDE w:val="0"/>
      <w:autoSpaceDN w:val="0"/>
      <w:adjustRightInd w:val="0"/>
      <w:spacing w:line="240" w:lineRule="exact"/>
      <w:ind w:firstLine="600"/>
      <w:jc w:val="both"/>
      <w:textAlignment w:val="baseline"/>
    </w:pPr>
    <w:rPr>
      <w:rFonts w:ascii="Courier" w:hAnsi="Courier"/>
      <w:sz w:val="24"/>
    </w:rPr>
  </w:style>
  <w:style w:type="paragraph" w:customStyle="1" w:styleId="L3">
    <w:name w:val="L3"/>
    <w:pPr>
      <w:overflowPunct w:val="0"/>
      <w:autoSpaceDE w:val="0"/>
      <w:autoSpaceDN w:val="0"/>
      <w:adjustRightInd w:val="0"/>
      <w:spacing w:line="240" w:lineRule="exact"/>
      <w:jc w:val="both"/>
      <w:textAlignment w:val="baseline"/>
    </w:pPr>
    <w:rPr>
      <w:rFonts w:ascii="Courier" w:hAnsi="Courier"/>
      <w:sz w:val="24"/>
    </w:rPr>
  </w:style>
  <w:style w:type="paragraph" w:customStyle="1" w:styleId="O7">
    <w:name w:val="O7"/>
    <w:pPr>
      <w:tabs>
        <w:tab w:val="left" w:pos="600"/>
        <w:tab w:val="left" w:pos="1200"/>
        <w:tab w:val="left" w:pos="1800"/>
        <w:tab w:val="left" w:pos="2400"/>
      </w:tabs>
      <w:overflowPunct w:val="0"/>
      <w:autoSpaceDE w:val="0"/>
      <w:autoSpaceDN w:val="0"/>
      <w:adjustRightInd w:val="0"/>
      <w:spacing w:line="240" w:lineRule="exact"/>
      <w:ind w:left="1200" w:hanging="1200"/>
      <w:jc w:val="both"/>
      <w:textAlignment w:val="baseline"/>
    </w:pPr>
    <w:rPr>
      <w:rFonts w:ascii="Courier" w:hAnsi="Courier"/>
      <w:sz w:val="24"/>
    </w:rPr>
  </w:style>
  <w:style w:type="paragraph" w:customStyle="1" w:styleId="O9">
    <w:name w:val="O9"/>
    <w:pPr>
      <w:tabs>
        <w:tab w:val="left" w:pos="600"/>
        <w:tab w:val="left" w:pos="1200"/>
        <w:tab w:val="left" w:pos="1800"/>
        <w:tab w:val="left" w:pos="2400"/>
      </w:tabs>
      <w:overflowPunct w:val="0"/>
      <w:autoSpaceDE w:val="0"/>
      <w:autoSpaceDN w:val="0"/>
      <w:adjustRightInd w:val="0"/>
      <w:spacing w:line="240" w:lineRule="exact"/>
      <w:ind w:left="2400" w:hanging="2400"/>
      <w:jc w:val="both"/>
      <w:textAlignment w:val="baseline"/>
    </w:pPr>
    <w:rPr>
      <w:rFonts w:ascii="Courier" w:hAnsi="Courier"/>
      <w:sz w:val="24"/>
    </w:rPr>
  </w:style>
  <w:style w:type="paragraph" w:customStyle="1" w:styleId="outlinelevel4">
    <w:name w:val="outline level 4"/>
    <w:pPr>
      <w:tabs>
        <w:tab w:val="left" w:pos="2400"/>
      </w:tabs>
      <w:overflowPunct w:val="0"/>
      <w:autoSpaceDE w:val="0"/>
      <w:autoSpaceDN w:val="0"/>
      <w:adjustRightInd w:val="0"/>
      <w:spacing w:line="240" w:lineRule="exact"/>
      <w:ind w:left="2400" w:hanging="600"/>
      <w:jc w:val="both"/>
      <w:textAlignment w:val="baseline"/>
    </w:pPr>
    <w:rPr>
      <w:rFonts w:ascii="Courier" w:hAnsi="Courier"/>
      <w:sz w:val="24"/>
    </w:rPr>
  </w:style>
  <w:style w:type="paragraph" w:customStyle="1" w:styleId="outlinelevel5">
    <w:name w:val="outline level 5"/>
    <w:pPr>
      <w:tabs>
        <w:tab w:val="left" w:pos="3000"/>
      </w:tabs>
      <w:overflowPunct w:val="0"/>
      <w:autoSpaceDE w:val="0"/>
      <w:autoSpaceDN w:val="0"/>
      <w:adjustRightInd w:val="0"/>
      <w:spacing w:line="360" w:lineRule="exact"/>
      <w:ind w:left="3000" w:hanging="600"/>
      <w:jc w:val="both"/>
      <w:textAlignment w:val="baseline"/>
    </w:pPr>
    <w:rPr>
      <w:rFonts w:ascii="Courier" w:hAnsi="Courier"/>
      <w:sz w:val="24"/>
    </w:rPr>
  </w:style>
  <w:style w:type="paragraph" w:customStyle="1" w:styleId="outlinelevel6">
    <w:name w:val="outline level 6"/>
    <w:pPr>
      <w:tabs>
        <w:tab w:val="left" w:pos="3000"/>
      </w:tabs>
      <w:overflowPunct w:val="0"/>
      <w:autoSpaceDE w:val="0"/>
      <w:autoSpaceDN w:val="0"/>
      <w:adjustRightInd w:val="0"/>
      <w:spacing w:line="240" w:lineRule="exact"/>
      <w:ind w:left="3600" w:hanging="600"/>
      <w:jc w:val="both"/>
      <w:textAlignment w:val="baseline"/>
    </w:pPr>
    <w:rPr>
      <w:rFonts w:ascii="Courier" w:hAnsi="Courier"/>
      <w:sz w:val="24"/>
    </w:rPr>
  </w:style>
  <w:style w:type="character" w:styleId="PageNumber">
    <w:name w:val="page number"/>
    <w:basedOn w:val="DefaultParagraphFont"/>
  </w:style>
  <w:style w:type="paragraph" w:customStyle="1" w:styleId="parindent">
    <w:name w:val="par indent"/>
    <w:pPr>
      <w:overflowPunct w:val="0"/>
      <w:autoSpaceDE w:val="0"/>
      <w:autoSpaceDN w:val="0"/>
      <w:adjustRightInd w:val="0"/>
      <w:spacing w:line="360" w:lineRule="exact"/>
      <w:ind w:firstLine="600"/>
      <w:jc w:val="both"/>
      <w:textAlignment w:val="baseline"/>
    </w:pPr>
    <w:rPr>
      <w:rFonts w:ascii="Courier" w:hAnsi="Courier"/>
      <w:sz w:val="24"/>
    </w:rPr>
  </w:style>
  <w:style w:type="paragraph" w:customStyle="1" w:styleId="Style1">
    <w:name w:val="Style1"/>
    <w:basedOn w:val="Normal"/>
    <w:next w:val="Heading8"/>
    <w:pPr>
      <w:ind w:left="2400" w:hanging="300"/>
    </w:pPr>
  </w:style>
  <w:style w:type="paragraph" w:styleId="TOC1">
    <w:name w:val="toc 1"/>
    <w:basedOn w:val="Normal"/>
    <w:semiHidden/>
    <w:pPr>
      <w:tabs>
        <w:tab w:val="right" w:leader="dot" w:pos="8400"/>
      </w:tabs>
      <w:spacing w:before="240" w:line="240" w:lineRule="exact"/>
      <w:ind w:firstLine="120"/>
    </w:pPr>
    <w:rPr>
      <w:sz w:val="24"/>
    </w:rPr>
  </w:style>
  <w:style w:type="paragraph" w:styleId="TOC2">
    <w:name w:val="toc 2"/>
    <w:basedOn w:val="Normal"/>
    <w:semiHidden/>
    <w:pPr>
      <w:tabs>
        <w:tab w:val="right" w:leader="dot" w:pos="8400"/>
      </w:tabs>
      <w:spacing w:line="240" w:lineRule="exact"/>
      <w:ind w:left="600"/>
    </w:pPr>
    <w:rPr>
      <w:rFonts w:ascii="Courier" w:hAnsi="Courier"/>
      <w:sz w:val="24"/>
    </w:rPr>
  </w:style>
  <w:style w:type="paragraph" w:styleId="TOC3">
    <w:name w:val="toc 3"/>
    <w:basedOn w:val="Normal"/>
    <w:semiHidden/>
    <w:pPr>
      <w:tabs>
        <w:tab w:val="right" w:leader="dot" w:pos="8400"/>
      </w:tabs>
      <w:spacing w:line="240" w:lineRule="exact"/>
      <w:ind w:left="1200"/>
    </w:pPr>
    <w:rPr>
      <w:rFonts w:ascii="Courier" w:hAnsi="Courier"/>
      <w:sz w:val="24"/>
    </w:rPr>
  </w:style>
  <w:style w:type="paragraph" w:styleId="TOC4">
    <w:name w:val="toc 4"/>
    <w:basedOn w:val="Normal"/>
    <w:semiHidden/>
    <w:pPr>
      <w:tabs>
        <w:tab w:val="right" w:leader="dot" w:pos="8400"/>
      </w:tabs>
      <w:spacing w:line="240" w:lineRule="exact"/>
      <w:ind w:left="1800"/>
    </w:pPr>
    <w:rPr>
      <w:rFonts w:ascii="Courier" w:hAnsi="Courier"/>
      <w:sz w:val="24"/>
    </w:rPr>
  </w:style>
  <w:style w:type="paragraph" w:styleId="BodyTextIndent2">
    <w:name w:val="Body Text Indent 2"/>
    <w:basedOn w:val="Normal"/>
    <w:pPr>
      <w:tabs>
        <w:tab w:val="right" w:pos="3870"/>
      </w:tabs>
      <w:ind w:left="180"/>
    </w:pPr>
  </w:style>
  <w:style w:type="paragraph" w:styleId="BodyText2">
    <w:name w:val="Body Text 2"/>
    <w:basedOn w:val="Normal"/>
    <w:rsid w:val="00A34D78"/>
    <w:pPr>
      <w:tabs>
        <w:tab w:val="left" w:pos="3060"/>
      </w:tabs>
    </w:pPr>
    <w:rPr>
      <w:color w:val="FF0000"/>
    </w:rPr>
  </w:style>
  <w:style w:type="character" w:styleId="HTMLTypewriter">
    <w:name w:val="HTML Typewriter"/>
    <w:basedOn w:val="DefaultParagraphFont"/>
    <w:rPr>
      <w:rFonts w:ascii="Courier New" w:hAnsi="Courier New"/>
      <w:sz w:val="20"/>
    </w:rPr>
  </w:style>
  <w:style w:type="character" w:styleId="Hyperlink">
    <w:name w:val="Hyperlink"/>
    <w:basedOn w:val="DefaultParagraphFont"/>
    <w:rPr>
      <w:color w:val="000080"/>
      <w:u w:val="single"/>
    </w:rPr>
  </w:style>
  <w:style w:type="character" w:styleId="FollowedHyperlink">
    <w:name w:val="FollowedHyperlink"/>
    <w:basedOn w:val="DefaultParagraphFont"/>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rPr>
  </w:style>
  <w:style w:type="paragraph" w:styleId="NormalWeb">
    <w:name w:val="Normal (Web)"/>
    <w:basedOn w:val="Normal"/>
    <w:uiPriority w:val="99"/>
    <w:pPr>
      <w:spacing w:before="100" w:after="100"/>
    </w:pPr>
    <w:rPr>
      <w:sz w:val="24"/>
    </w:rPr>
  </w:style>
  <w:style w:type="paragraph" w:styleId="BodyText3">
    <w:name w:val="Body Text 3"/>
    <w:basedOn w:val="Normal"/>
    <w:pPr>
      <w:tabs>
        <w:tab w:val="left" w:pos="1440"/>
        <w:tab w:val="decimal" w:pos="2790"/>
      </w:tabs>
      <w:overflowPunct/>
      <w:textAlignment w:val="auto"/>
    </w:pPr>
    <w:rPr>
      <w:rFonts w:ascii="Univers-Condensed" w:hAnsi="Univers-Condensed"/>
      <w:color w:val="231F20"/>
      <w:sz w:val="18"/>
      <w:szCs w:val="18"/>
    </w:rPr>
  </w:style>
  <w:style w:type="paragraph" w:styleId="BalloonText">
    <w:name w:val="Balloon Text"/>
    <w:basedOn w:val="Normal"/>
    <w:semiHidden/>
    <w:rsid w:val="001E5DDE"/>
    <w:rPr>
      <w:rFonts w:ascii="Tahoma" w:hAnsi="Tahoma" w:cs="Tahoma"/>
      <w:sz w:val="16"/>
      <w:szCs w:val="16"/>
    </w:rPr>
  </w:style>
  <w:style w:type="character" w:styleId="Emphasis">
    <w:name w:val="Emphasis"/>
    <w:basedOn w:val="DefaultParagraphFont"/>
    <w:qFormat/>
    <w:rsid w:val="002406F7"/>
    <w:rPr>
      <w:i/>
      <w:iCs/>
    </w:rPr>
  </w:style>
  <w:style w:type="character" w:styleId="Strong">
    <w:name w:val="Strong"/>
    <w:basedOn w:val="DefaultParagraphFont"/>
    <w:qFormat/>
    <w:rsid w:val="002406F7"/>
    <w:rPr>
      <w:b/>
      <w:bCs/>
    </w:rPr>
  </w:style>
  <w:style w:type="character" w:styleId="FootnoteReference">
    <w:name w:val="footnote reference"/>
    <w:semiHidden/>
    <w:rsid w:val="0008597B"/>
  </w:style>
  <w:style w:type="paragraph" w:customStyle="1" w:styleId="1">
    <w:name w:val="1"/>
    <w:aliases w:val="2,3"/>
    <w:basedOn w:val="Normal"/>
    <w:rsid w:val="0008597B"/>
    <w:pPr>
      <w:widowControl w:val="0"/>
      <w:overflowPunct/>
      <w:spacing w:after="66"/>
      <w:ind w:left="720" w:hanging="360"/>
      <w:textAlignment w:val="auto"/>
    </w:pPr>
    <w:rPr>
      <w:szCs w:val="22"/>
    </w:rPr>
  </w:style>
  <w:style w:type="character" w:customStyle="1" w:styleId="Heading3Char">
    <w:name w:val="Heading 3 Char"/>
    <w:basedOn w:val="DefaultParagraphFont"/>
    <w:link w:val="Heading3"/>
    <w:rsid w:val="009E07BC"/>
    <w:rPr>
      <w:sz w:val="22"/>
      <w:lang w:val="en-US" w:eastAsia="en-US" w:bidi="ar-SA"/>
    </w:rPr>
  </w:style>
  <w:style w:type="character" w:customStyle="1" w:styleId="Heading1Char">
    <w:name w:val="Heading 1 Char"/>
    <w:basedOn w:val="DefaultParagraphFont"/>
    <w:link w:val="Heading1"/>
    <w:rsid w:val="00192D21"/>
    <w:rPr>
      <w:sz w:val="22"/>
      <w:lang w:val="en-US" w:eastAsia="en-US" w:bidi="ar-SA"/>
    </w:rPr>
  </w:style>
  <w:style w:type="character" w:customStyle="1" w:styleId="style61">
    <w:name w:val="style61"/>
    <w:basedOn w:val="DefaultParagraphFont"/>
    <w:rsid w:val="008123DE"/>
    <w:rPr>
      <w:sz w:val="21"/>
      <w:szCs w:val="21"/>
    </w:rPr>
  </w:style>
  <w:style w:type="paragraph" w:styleId="ListParagraph">
    <w:name w:val="List Paragraph"/>
    <w:basedOn w:val="Normal"/>
    <w:uiPriority w:val="34"/>
    <w:qFormat/>
    <w:rsid w:val="00B54E55"/>
    <w:pPr>
      <w:overflowPunct/>
      <w:autoSpaceDE/>
      <w:autoSpaceDN/>
      <w:adjustRightInd/>
      <w:ind w:left="720"/>
      <w:contextualSpacing/>
      <w:jc w:val="both"/>
      <w:textAlignment w:val="auto"/>
    </w:pPr>
    <w:rPr>
      <w:sz w:val="24"/>
    </w:rPr>
  </w:style>
  <w:style w:type="table" w:styleId="TableGrid">
    <w:name w:val="Table Grid"/>
    <w:basedOn w:val="TableNormal"/>
    <w:rsid w:val="006532F3"/>
    <w:rPr>
      <w:rFonts w:ascii="Courier"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0FE"/>
    <w:pPr>
      <w:autoSpaceDE w:val="0"/>
      <w:autoSpaceDN w:val="0"/>
      <w:adjustRightInd w:val="0"/>
    </w:pPr>
    <w:rPr>
      <w:rFonts w:ascii="Roboto" w:hAnsi="Roboto" w:cs="Roboto"/>
      <w:color w:val="000000"/>
      <w:sz w:val="24"/>
      <w:szCs w:val="24"/>
    </w:rPr>
  </w:style>
  <w:style w:type="paragraph" w:customStyle="1" w:styleId="Normal1">
    <w:name w:val="Normal1"/>
    <w:basedOn w:val="Normal"/>
    <w:rsid w:val="008C3087"/>
    <w:pPr>
      <w:overflowPunct/>
      <w:autoSpaceDE/>
      <w:autoSpaceDN/>
      <w:adjustRightInd/>
      <w:spacing w:before="100" w:beforeAutospacing="1" w:after="100" w:afterAutospacing="1"/>
      <w:textAlignment w:val="auto"/>
    </w:pPr>
    <w:rPr>
      <w:sz w:val="24"/>
      <w:szCs w:val="24"/>
    </w:rPr>
  </w:style>
  <w:style w:type="paragraph" w:customStyle="1" w:styleId="rtejustify">
    <w:name w:val="rtejustify"/>
    <w:basedOn w:val="Normal"/>
    <w:rsid w:val="00645779"/>
    <w:pPr>
      <w:overflowPunct/>
      <w:autoSpaceDE/>
      <w:autoSpaceDN/>
      <w:adjustRightInd/>
      <w:spacing w:before="100" w:beforeAutospacing="1" w:after="100" w:afterAutospacing="1"/>
      <w:textAlignment w:val="auto"/>
    </w:pPr>
    <w:rPr>
      <w:sz w:val="24"/>
      <w:szCs w:val="24"/>
    </w:rPr>
  </w:style>
  <w:style w:type="paragraph" w:styleId="Revision">
    <w:name w:val="Revision"/>
    <w:hidden/>
    <w:uiPriority w:val="99"/>
    <w:semiHidden/>
    <w:rsid w:val="00BF3359"/>
    <w:rPr>
      <w:sz w:val="22"/>
    </w:rPr>
  </w:style>
  <w:style w:type="character" w:customStyle="1" w:styleId="HeaderChar">
    <w:name w:val="Header Char"/>
    <w:basedOn w:val="DefaultParagraphFont"/>
    <w:link w:val="Header"/>
    <w:uiPriority w:val="99"/>
    <w:rsid w:val="00B52CC5"/>
    <w:rPr>
      <w:rFonts w:ascii="Courier" w:hAnsi="Courie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1918">
      <w:bodyDiv w:val="1"/>
      <w:marLeft w:val="0"/>
      <w:marRight w:val="0"/>
      <w:marTop w:val="0"/>
      <w:marBottom w:val="0"/>
      <w:divBdr>
        <w:top w:val="none" w:sz="0" w:space="0" w:color="auto"/>
        <w:left w:val="none" w:sz="0" w:space="0" w:color="auto"/>
        <w:bottom w:val="none" w:sz="0" w:space="0" w:color="auto"/>
        <w:right w:val="none" w:sz="0" w:space="0" w:color="auto"/>
      </w:divBdr>
      <w:divsChild>
        <w:div w:id="858079924">
          <w:marLeft w:val="0"/>
          <w:marRight w:val="0"/>
          <w:marTop w:val="0"/>
          <w:marBottom w:val="0"/>
          <w:divBdr>
            <w:top w:val="none" w:sz="0" w:space="0" w:color="auto"/>
            <w:left w:val="none" w:sz="0" w:space="0" w:color="auto"/>
            <w:bottom w:val="none" w:sz="0" w:space="0" w:color="auto"/>
            <w:right w:val="none" w:sz="0" w:space="0" w:color="auto"/>
          </w:divBdr>
          <w:divsChild>
            <w:div w:id="471599089">
              <w:marLeft w:val="0"/>
              <w:marRight w:val="0"/>
              <w:marTop w:val="0"/>
              <w:marBottom w:val="0"/>
              <w:divBdr>
                <w:top w:val="none" w:sz="0" w:space="0" w:color="auto"/>
                <w:left w:val="none" w:sz="0" w:space="0" w:color="auto"/>
                <w:bottom w:val="none" w:sz="0" w:space="0" w:color="auto"/>
                <w:right w:val="none" w:sz="0" w:space="0" w:color="auto"/>
              </w:divBdr>
            </w:div>
            <w:div w:id="12855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775">
      <w:bodyDiv w:val="1"/>
      <w:marLeft w:val="0"/>
      <w:marRight w:val="0"/>
      <w:marTop w:val="0"/>
      <w:marBottom w:val="0"/>
      <w:divBdr>
        <w:top w:val="none" w:sz="0" w:space="0" w:color="auto"/>
        <w:left w:val="none" w:sz="0" w:space="0" w:color="auto"/>
        <w:bottom w:val="none" w:sz="0" w:space="0" w:color="auto"/>
        <w:right w:val="none" w:sz="0" w:space="0" w:color="auto"/>
      </w:divBdr>
      <w:divsChild>
        <w:div w:id="627932762">
          <w:marLeft w:val="0"/>
          <w:marRight w:val="0"/>
          <w:marTop w:val="0"/>
          <w:marBottom w:val="0"/>
          <w:divBdr>
            <w:top w:val="none" w:sz="0" w:space="0" w:color="auto"/>
            <w:left w:val="none" w:sz="0" w:space="0" w:color="auto"/>
            <w:bottom w:val="none" w:sz="0" w:space="0" w:color="auto"/>
            <w:right w:val="none" w:sz="0" w:space="0" w:color="auto"/>
          </w:divBdr>
          <w:divsChild>
            <w:div w:id="184637857">
              <w:marLeft w:val="0"/>
              <w:marRight w:val="0"/>
              <w:marTop w:val="0"/>
              <w:marBottom w:val="0"/>
              <w:divBdr>
                <w:top w:val="none" w:sz="0" w:space="0" w:color="auto"/>
                <w:left w:val="single" w:sz="36" w:space="0" w:color="CCE5E5"/>
                <w:bottom w:val="none" w:sz="0" w:space="0" w:color="auto"/>
                <w:right w:val="none" w:sz="0" w:space="0" w:color="auto"/>
              </w:divBdr>
              <w:divsChild>
                <w:div w:id="725764201">
                  <w:marLeft w:val="0"/>
                  <w:marRight w:val="0"/>
                  <w:marTop w:val="0"/>
                  <w:marBottom w:val="0"/>
                  <w:divBdr>
                    <w:top w:val="none" w:sz="0" w:space="0" w:color="auto"/>
                    <w:left w:val="none" w:sz="0" w:space="0" w:color="auto"/>
                    <w:bottom w:val="none" w:sz="0" w:space="0" w:color="auto"/>
                    <w:right w:val="none" w:sz="0" w:space="0" w:color="auto"/>
                  </w:divBdr>
                  <w:divsChild>
                    <w:div w:id="18919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626">
      <w:bodyDiv w:val="1"/>
      <w:marLeft w:val="0"/>
      <w:marRight w:val="0"/>
      <w:marTop w:val="0"/>
      <w:marBottom w:val="0"/>
      <w:divBdr>
        <w:top w:val="none" w:sz="0" w:space="0" w:color="auto"/>
        <w:left w:val="none" w:sz="0" w:space="0" w:color="auto"/>
        <w:bottom w:val="none" w:sz="0" w:space="0" w:color="auto"/>
        <w:right w:val="none" w:sz="0" w:space="0" w:color="auto"/>
      </w:divBdr>
      <w:divsChild>
        <w:div w:id="1801797339">
          <w:marLeft w:val="0"/>
          <w:marRight w:val="0"/>
          <w:marTop w:val="0"/>
          <w:marBottom w:val="0"/>
          <w:divBdr>
            <w:top w:val="none" w:sz="0" w:space="0" w:color="auto"/>
            <w:left w:val="none" w:sz="0" w:space="0" w:color="auto"/>
            <w:bottom w:val="none" w:sz="0" w:space="0" w:color="auto"/>
            <w:right w:val="none" w:sz="0" w:space="0" w:color="auto"/>
          </w:divBdr>
          <w:divsChild>
            <w:div w:id="184103771">
              <w:marLeft w:val="0"/>
              <w:marRight w:val="0"/>
              <w:marTop w:val="0"/>
              <w:marBottom w:val="0"/>
              <w:divBdr>
                <w:top w:val="none" w:sz="0" w:space="0" w:color="auto"/>
                <w:left w:val="none" w:sz="0" w:space="0" w:color="auto"/>
                <w:bottom w:val="none" w:sz="0" w:space="0" w:color="auto"/>
                <w:right w:val="none" w:sz="0" w:space="0" w:color="auto"/>
              </w:divBdr>
            </w:div>
            <w:div w:id="262342713">
              <w:marLeft w:val="0"/>
              <w:marRight w:val="0"/>
              <w:marTop w:val="0"/>
              <w:marBottom w:val="0"/>
              <w:divBdr>
                <w:top w:val="none" w:sz="0" w:space="0" w:color="auto"/>
                <w:left w:val="none" w:sz="0" w:space="0" w:color="auto"/>
                <w:bottom w:val="none" w:sz="0" w:space="0" w:color="auto"/>
                <w:right w:val="none" w:sz="0" w:space="0" w:color="auto"/>
              </w:divBdr>
            </w:div>
            <w:div w:id="760418277">
              <w:marLeft w:val="0"/>
              <w:marRight w:val="0"/>
              <w:marTop w:val="0"/>
              <w:marBottom w:val="0"/>
              <w:divBdr>
                <w:top w:val="none" w:sz="0" w:space="0" w:color="auto"/>
                <w:left w:val="none" w:sz="0" w:space="0" w:color="auto"/>
                <w:bottom w:val="none" w:sz="0" w:space="0" w:color="auto"/>
                <w:right w:val="none" w:sz="0" w:space="0" w:color="auto"/>
              </w:divBdr>
            </w:div>
            <w:div w:id="826091958">
              <w:marLeft w:val="0"/>
              <w:marRight w:val="0"/>
              <w:marTop w:val="0"/>
              <w:marBottom w:val="0"/>
              <w:divBdr>
                <w:top w:val="none" w:sz="0" w:space="0" w:color="auto"/>
                <w:left w:val="none" w:sz="0" w:space="0" w:color="auto"/>
                <w:bottom w:val="none" w:sz="0" w:space="0" w:color="auto"/>
                <w:right w:val="none" w:sz="0" w:space="0" w:color="auto"/>
              </w:divBdr>
            </w:div>
            <w:div w:id="977731853">
              <w:marLeft w:val="0"/>
              <w:marRight w:val="0"/>
              <w:marTop w:val="0"/>
              <w:marBottom w:val="0"/>
              <w:divBdr>
                <w:top w:val="none" w:sz="0" w:space="0" w:color="auto"/>
                <w:left w:val="none" w:sz="0" w:space="0" w:color="auto"/>
                <w:bottom w:val="none" w:sz="0" w:space="0" w:color="auto"/>
                <w:right w:val="none" w:sz="0" w:space="0" w:color="auto"/>
              </w:divBdr>
            </w:div>
            <w:div w:id="1100679163">
              <w:marLeft w:val="0"/>
              <w:marRight w:val="0"/>
              <w:marTop w:val="0"/>
              <w:marBottom w:val="0"/>
              <w:divBdr>
                <w:top w:val="none" w:sz="0" w:space="0" w:color="auto"/>
                <w:left w:val="none" w:sz="0" w:space="0" w:color="auto"/>
                <w:bottom w:val="none" w:sz="0" w:space="0" w:color="auto"/>
                <w:right w:val="none" w:sz="0" w:space="0" w:color="auto"/>
              </w:divBdr>
            </w:div>
            <w:div w:id="1188182676">
              <w:marLeft w:val="0"/>
              <w:marRight w:val="0"/>
              <w:marTop w:val="0"/>
              <w:marBottom w:val="0"/>
              <w:divBdr>
                <w:top w:val="none" w:sz="0" w:space="0" w:color="auto"/>
                <w:left w:val="none" w:sz="0" w:space="0" w:color="auto"/>
                <w:bottom w:val="none" w:sz="0" w:space="0" w:color="auto"/>
                <w:right w:val="none" w:sz="0" w:space="0" w:color="auto"/>
              </w:divBdr>
            </w:div>
            <w:div w:id="1717773251">
              <w:marLeft w:val="0"/>
              <w:marRight w:val="0"/>
              <w:marTop w:val="0"/>
              <w:marBottom w:val="0"/>
              <w:divBdr>
                <w:top w:val="none" w:sz="0" w:space="0" w:color="auto"/>
                <w:left w:val="none" w:sz="0" w:space="0" w:color="auto"/>
                <w:bottom w:val="none" w:sz="0" w:space="0" w:color="auto"/>
                <w:right w:val="none" w:sz="0" w:space="0" w:color="auto"/>
              </w:divBdr>
            </w:div>
            <w:div w:id="1727726986">
              <w:marLeft w:val="0"/>
              <w:marRight w:val="0"/>
              <w:marTop w:val="0"/>
              <w:marBottom w:val="0"/>
              <w:divBdr>
                <w:top w:val="none" w:sz="0" w:space="0" w:color="auto"/>
                <w:left w:val="none" w:sz="0" w:space="0" w:color="auto"/>
                <w:bottom w:val="none" w:sz="0" w:space="0" w:color="auto"/>
                <w:right w:val="none" w:sz="0" w:space="0" w:color="auto"/>
              </w:divBdr>
            </w:div>
            <w:div w:id="2047948018">
              <w:marLeft w:val="0"/>
              <w:marRight w:val="0"/>
              <w:marTop w:val="0"/>
              <w:marBottom w:val="0"/>
              <w:divBdr>
                <w:top w:val="none" w:sz="0" w:space="0" w:color="auto"/>
                <w:left w:val="none" w:sz="0" w:space="0" w:color="auto"/>
                <w:bottom w:val="none" w:sz="0" w:space="0" w:color="auto"/>
                <w:right w:val="none" w:sz="0" w:space="0" w:color="auto"/>
              </w:divBdr>
            </w:div>
            <w:div w:id="20758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7602">
      <w:bodyDiv w:val="1"/>
      <w:marLeft w:val="0"/>
      <w:marRight w:val="0"/>
      <w:marTop w:val="0"/>
      <w:marBottom w:val="0"/>
      <w:divBdr>
        <w:top w:val="none" w:sz="0" w:space="0" w:color="auto"/>
        <w:left w:val="none" w:sz="0" w:space="0" w:color="auto"/>
        <w:bottom w:val="none" w:sz="0" w:space="0" w:color="auto"/>
        <w:right w:val="none" w:sz="0" w:space="0" w:color="auto"/>
      </w:divBdr>
    </w:div>
    <w:div w:id="45567153">
      <w:bodyDiv w:val="1"/>
      <w:marLeft w:val="0"/>
      <w:marRight w:val="0"/>
      <w:marTop w:val="0"/>
      <w:marBottom w:val="0"/>
      <w:divBdr>
        <w:top w:val="none" w:sz="0" w:space="0" w:color="auto"/>
        <w:left w:val="none" w:sz="0" w:space="0" w:color="auto"/>
        <w:bottom w:val="none" w:sz="0" w:space="0" w:color="auto"/>
        <w:right w:val="none" w:sz="0" w:space="0" w:color="auto"/>
      </w:divBdr>
      <w:divsChild>
        <w:div w:id="34013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06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512954">
      <w:bodyDiv w:val="1"/>
      <w:marLeft w:val="0"/>
      <w:marRight w:val="0"/>
      <w:marTop w:val="0"/>
      <w:marBottom w:val="0"/>
      <w:divBdr>
        <w:top w:val="none" w:sz="0" w:space="0" w:color="auto"/>
        <w:left w:val="none" w:sz="0" w:space="0" w:color="auto"/>
        <w:bottom w:val="none" w:sz="0" w:space="0" w:color="auto"/>
        <w:right w:val="none" w:sz="0" w:space="0" w:color="auto"/>
      </w:divBdr>
      <w:divsChild>
        <w:div w:id="1105082055">
          <w:marLeft w:val="0"/>
          <w:marRight w:val="0"/>
          <w:marTop w:val="0"/>
          <w:marBottom w:val="0"/>
          <w:divBdr>
            <w:top w:val="none" w:sz="0" w:space="0" w:color="auto"/>
            <w:left w:val="none" w:sz="0" w:space="0" w:color="auto"/>
            <w:bottom w:val="none" w:sz="0" w:space="0" w:color="auto"/>
            <w:right w:val="none" w:sz="0" w:space="0" w:color="auto"/>
          </w:divBdr>
          <w:divsChild>
            <w:div w:id="19569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9647">
      <w:bodyDiv w:val="1"/>
      <w:marLeft w:val="0"/>
      <w:marRight w:val="0"/>
      <w:marTop w:val="0"/>
      <w:marBottom w:val="0"/>
      <w:divBdr>
        <w:top w:val="none" w:sz="0" w:space="0" w:color="auto"/>
        <w:left w:val="none" w:sz="0" w:space="0" w:color="auto"/>
        <w:bottom w:val="none" w:sz="0" w:space="0" w:color="auto"/>
        <w:right w:val="none" w:sz="0" w:space="0" w:color="auto"/>
      </w:divBdr>
      <w:divsChild>
        <w:div w:id="2058895161">
          <w:marLeft w:val="0"/>
          <w:marRight w:val="0"/>
          <w:marTop w:val="0"/>
          <w:marBottom w:val="0"/>
          <w:divBdr>
            <w:top w:val="none" w:sz="0" w:space="0" w:color="auto"/>
            <w:left w:val="none" w:sz="0" w:space="0" w:color="auto"/>
            <w:bottom w:val="none" w:sz="0" w:space="0" w:color="auto"/>
            <w:right w:val="none" w:sz="0" w:space="0" w:color="auto"/>
          </w:divBdr>
          <w:divsChild>
            <w:div w:id="884220557">
              <w:marLeft w:val="0"/>
              <w:marRight w:val="0"/>
              <w:marTop w:val="0"/>
              <w:marBottom w:val="0"/>
              <w:divBdr>
                <w:top w:val="none" w:sz="0" w:space="0" w:color="auto"/>
                <w:left w:val="none" w:sz="0" w:space="0" w:color="auto"/>
                <w:bottom w:val="none" w:sz="0" w:space="0" w:color="auto"/>
                <w:right w:val="none" w:sz="0" w:space="0" w:color="auto"/>
              </w:divBdr>
            </w:div>
            <w:div w:id="971642283">
              <w:marLeft w:val="0"/>
              <w:marRight w:val="0"/>
              <w:marTop w:val="0"/>
              <w:marBottom w:val="0"/>
              <w:divBdr>
                <w:top w:val="none" w:sz="0" w:space="0" w:color="auto"/>
                <w:left w:val="none" w:sz="0" w:space="0" w:color="auto"/>
                <w:bottom w:val="none" w:sz="0" w:space="0" w:color="auto"/>
                <w:right w:val="none" w:sz="0" w:space="0" w:color="auto"/>
              </w:divBdr>
            </w:div>
            <w:div w:id="1114980763">
              <w:marLeft w:val="0"/>
              <w:marRight w:val="0"/>
              <w:marTop w:val="0"/>
              <w:marBottom w:val="0"/>
              <w:divBdr>
                <w:top w:val="none" w:sz="0" w:space="0" w:color="auto"/>
                <w:left w:val="none" w:sz="0" w:space="0" w:color="auto"/>
                <w:bottom w:val="none" w:sz="0" w:space="0" w:color="auto"/>
                <w:right w:val="none" w:sz="0" w:space="0" w:color="auto"/>
              </w:divBdr>
            </w:div>
            <w:div w:id="1520582175">
              <w:marLeft w:val="0"/>
              <w:marRight w:val="0"/>
              <w:marTop w:val="0"/>
              <w:marBottom w:val="0"/>
              <w:divBdr>
                <w:top w:val="none" w:sz="0" w:space="0" w:color="auto"/>
                <w:left w:val="none" w:sz="0" w:space="0" w:color="auto"/>
                <w:bottom w:val="none" w:sz="0" w:space="0" w:color="auto"/>
                <w:right w:val="none" w:sz="0" w:space="0" w:color="auto"/>
              </w:divBdr>
            </w:div>
            <w:div w:id="1737512418">
              <w:marLeft w:val="0"/>
              <w:marRight w:val="0"/>
              <w:marTop w:val="0"/>
              <w:marBottom w:val="0"/>
              <w:divBdr>
                <w:top w:val="none" w:sz="0" w:space="0" w:color="auto"/>
                <w:left w:val="none" w:sz="0" w:space="0" w:color="auto"/>
                <w:bottom w:val="none" w:sz="0" w:space="0" w:color="auto"/>
                <w:right w:val="none" w:sz="0" w:space="0" w:color="auto"/>
              </w:divBdr>
            </w:div>
            <w:div w:id="21222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973">
      <w:bodyDiv w:val="1"/>
      <w:marLeft w:val="0"/>
      <w:marRight w:val="0"/>
      <w:marTop w:val="0"/>
      <w:marBottom w:val="0"/>
      <w:divBdr>
        <w:top w:val="none" w:sz="0" w:space="0" w:color="auto"/>
        <w:left w:val="none" w:sz="0" w:space="0" w:color="auto"/>
        <w:bottom w:val="none" w:sz="0" w:space="0" w:color="auto"/>
        <w:right w:val="none" w:sz="0" w:space="0" w:color="auto"/>
      </w:divBdr>
      <w:divsChild>
        <w:div w:id="1707024366">
          <w:marLeft w:val="167"/>
          <w:marRight w:val="167"/>
          <w:marTop w:val="167"/>
          <w:marBottom w:val="167"/>
          <w:divBdr>
            <w:top w:val="none" w:sz="0" w:space="0" w:color="auto"/>
            <w:left w:val="none" w:sz="0" w:space="0" w:color="auto"/>
            <w:bottom w:val="none" w:sz="0" w:space="0" w:color="auto"/>
            <w:right w:val="none" w:sz="0" w:space="0" w:color="auto"/>
          </w:divBdr>
        </w:div>
      </w:divsChild>
    </w:div>
    <w:div w:id="129638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05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688007">
                  <w:blockQuote w:val="1"/>
                  <w:marLeft w:val="720"/>
                  <w:marRight w:val="720"/>
                  <w:marTop w:val="100"/>
                  <w:marBottom w:val="100"/>
                  <w:divBdr>
                    <w:top w:val="none" w:sz="0" w:space="0" w:color="auto"/>
                    <w:left w:val="none" w:sz="0" w:space="0" w:color="auto"/>
                    <w:bottom w:val="none" w:sz="0" w:space="0" w:color="auto"/>
                    <w:right w:val="none" w:sz="0" w:space="0" w:color="auto"/>
                  </w:divBdr>
                </w:div>
                <w:div w:id="809248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934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725087">
      <w:bodyDiv w:val="1"/>
      <w:marLeft w:val="0"/>
      <w:marRight w:val="0"/>
      <w:marTop w:val="0"/>
      <w:marBottom w:val="0"/>
      <w:divBdr>
        <w:top w:val="none" w:sz="0" w:space="0" w:color="auto"/>
        <w:left w:val="none" w:sz="0" w:space="0" w:color="auto"/>
        <w:bottom w:val="none" w:sz="0" w:space="0" w:color="auto"/>
        <w:right w:val="none" w:sz="0" w:space="0" w:color="auto"/>
      </w:divBdr>
    </w:div>
    <w:div w:id="137499478">
      <w:bodyDiv w:val="1"/>
      <w:marLeft w:val="0"/>
      <w:marRight w:val="0"/>
      <w:marTop w:val="0"/>
      <w:marBottom w:val="0"/>
      <w:divBdr>
        <w:top w:val="none" w:sz="0" w:space="0" w:color="auto"/>
        <w:left w:val="none" w:sz="0" w:space="0" w:color="auto"/>
        <w:bottom w:val="none" w:sz="0" w:space="0" w:color="auto"/>
        <w:right w:val="none" w:sz="0" w:space="0" w:color="auto"/>
      </w:divBdr>
      <w:divsChild>
        <w:div w:id="158153655">
          <w:marLeft w:val="0"/>
          <w:marRight w:val="0"/>
          <w:marTop w:val="0"/>
          <w:marBottom w:val="0"/>
          <w:divBdr>
            <w:top w:val="none" w:sz="0" w:space="0" w:color="auto"/>
            <w:left w:val="none" w:sz="0" w:space="0" w:color="auto"/>
            <w:bottom w:val="none" w:sz="0" w:space="0" w:color="auto"/>
            <w:right w:val="none" w:sz="0" w:space="0" w:color="auto"/>
          </w:divBdr>
          <w:divsChild>
            <w:div w:id="186066832">
              <w:marLeft w:val="0"/>
              <w:marRight w:val="0"/>
              <w:marTop w:val="0"/>
              <w:marBottom w:val="0"/>
              <w:divBdr>
                <w:top w:val="none" w:sz="0" w:space="0" w:color="auto"/>
                <w:left w:val="none" w:sz="0" w:space="0" w:color="auto"/>
                <w:bottom w:val="none" w:sz="0" w:space="0" w:color="auto"/>
                <w:right w:val="none" w:sz="0" w:space="0" w:color="auto"/>
              </w:divBdr>
            </w:div>
            <w:div w:id="354038836">
              <w:marLeft w:val="0"/>
              <w:marRight w:val="0"/>
              <w:marTop w:val="0"/>
              <w:marBottom w:val="0"/>
              <w:divBdr>
                <w:top w:val="none" w:sz="0" w:space="0" w:color="auto"/>
                <w:left w:val="none" w:sz="0" w:space="0" w:color="auto"/>
                <w:bottom w:val="none" w:sz="0" w:space="0" w:color="auto"/>
                <w:right w:val="none" w:sz="0" w:space="0" w:color="auto"/>
              </w:divBdr>
            </w:div>
            <w:div w:id="549265276">
              <w:marLeft w:val="0"/>
              <w:marRight w:val="0"/>
              <w:marTop w:val="0"/>
              <w:marBottom w:val="0"/>
              <w:divBdr>
                <w:top w:val="none" w:sz="0" w:space="0" w:color="auto"/>
                <w:left w:val="none" w:sz="0" w:space="0" w:color="auto"/>
                <w:bottom w:val="none" w:sz="0" w:space="0" w:color="auto"/>
                <w:right w:val="none" w:sz="0" w:space="0" w:color="auto"/>
              </w:divBdr>
            </w:div>
            <w:div w:id="960843830">
              <w:marLeft w:val="0"/>
              <w:marRight w:val="0"/>
              <w:marTop w:val="0"/>
              <w:marBottom w:val="0"/>
              <w:divBdr>
                <w:top w:val="none" w:sz="0" w:space="0" w:color="auto"/>
                <w:left w:val="none" w:sz="0" w:space="0" w:color="auto"/>
                <w:bottom w:val="none" w:sz="0" w:space="0" w:color="auto"/>
                <w:right w:val="none" w:sz="0" w:space="0" w:color="auto"/>
              </w:divBdr>
            </w:div>
            <w:div w:id="1190070666">
              <w:marLeft w:val="0"/>
              <w:marRight w:val="0"/>
              <w:marTop w:val="0"/>
              <w:marBottom w:val="0"/>
              <w:divBdr>
                <w:top w:val="none" w:sz="0" w:space="0" w:color="auto"/>
                <w:left w:val="none" w:sz="0" w:space="0" w:color="auto"/>
                <w:bottom w:val="none" w:sz="0" w:space="0" w:color="auto"/>
                <w:right w:val="none" w:sz="0" w:space="0" w:color="auto"/>
              </w:divBdr>
            </w:div>
            <w:div w:id="1399674492">
              <w:marLeft w:val="0"/>
              <w:marRight w:val="0"/>
              <w:marTop w:val="0"/>
              <w:marBottom w:val="0"/>
              <w:divBdr>
                <w:top w:val="none" w:sz="0" w:space="0" w:color="auto"/>
                <w:left w:val="none" w:sz="0" w:space="0" w:color="auto"/>
                <w:bottom w:val="none" w:sz="0" w:space="0" w:color="auto"/>
                <w:right w:val="none" w:sz="0" w:space="0" w:color="auto"/>
              </w:divBdr>
            </w:div>
            <w:div w:id="1675112355">
              <w:marLeft w:val="0"/>
              <w:marRight w:val="0"/>
              <w:marTop w:val="0"/>
              <w:marBottom w:val="0"/>
              <w:divBdr>
                <w:top w:val="none" w:sz="0" w:space="0" w:color="auto"/>
                <w:left w:val="none" w:sz="0" w:space="0" w:color="auto"/>
                <w:bottom w:val="none" w:sz="0" w:space="0" w:color="auto"/>
                <w:right w:val="none" w:sz="0" w:space="0" w:color="auto"/>
              </w:divBdr>
            </w:div>
            <w:div w:id="1937782595">
              <w:marLeft w:val="0"/>
              <w:marRight w:val="0"/>
              <w:marTop w:val="0"/>
              <w:marBottom w:val="0"/>
              <w:divBdr>
                <w:top w:val="none" w:sz="0" w:space="0" w:color="auto"/>
                <w:left w:val="none" w:sz="0" w:space="0" w:color="auto"/>
                <w:bottom w:val="none" w:sz="0" w:space="0" w:color="auto"/>
                <w:right w:val="none" w:sz="0" w:space="0" w:color="auto"/>
              </w:divBdr>
            </w:div>
            <w:div w:id="2002196302">
              <w:marLeft w:val="0"/>
              <w:marRight w:val="0"/>
              <w:marTop w:val="0"/>
              <w:marBottom w:val="0"/>
              <w:divBdr>
                <w:top w:val="none" w:sz="0" w:space="0" w:color="auto"/>
                <w:left w:val="none" w:sz="0" w:space="0" w:color="auto"/>
                <w:bottom w:val="none" w:sz="0" w:space="0" w:color="auto"/>
                <w:right w:val="none" w:sz="0" w:space="0" w:color="auto"/>
              </w:divBdr>
            </w:div>
            <w:div w:id="21081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908">
      <w:bodyDiv w:val="1"/>
      <w:marLeft w:val="0"/>
      <w:marRight w:val="0"/>
      <w:marTop w:val="0"/>
      <w:marBottom w:val="0"/>
      <w:divBdr>
        <w:top w:val="none" w:sz="0" w:space="0" w:color="auto"/>
        <w:left w:val="none" w:sz="0" w:space="0" w:color="auto"/>
        <w:bottom w:val="none" w:sz="0" w:space="0" w:color="auto"/>
        <w:right w:val="none" w:sz="0" w:space="0" w:color="auto"/>
      </w:divBdr>
      <w:divsChild>
        <w:div w:id="3016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626528">
              <w:blockQuote w:val="1"/>
              <w:marLeft w:val="720"/>
              <w:marRight w:val="720"/>
              <w:marTop w:val="100"/>
              <w:marBottom w:val="100"/>
              <w:divBdr>
                <w:top w:val="none" w:sz="0" w:space="0" w:color="auto"/>
                <w:left w:val="none" w:sz="0" w:space="0" w:color="auto"/>
                <w:bottom w:val="none" w:sz="0" w:space="0" w:color="auto"/>
                <w:right w:val="none" w:sz="0" w:space="0" w:color="auto"/>
              </w:divBdr>
            </w:div>
            <w:div w:id="967777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393945">
      <w:bodyDiv w:val="1"/>
      <w:marLeft w:val="0"/>
      <w:marRight w:val="0"/>
      <w:marTop w:val="0"/>
      <w:marBottom w:val="0"/>
      <w:divBdr>
        <w:top w:val="none" w:sz="0" w:space="0" w:color="auto"/>
        <w:left w:val="none" w:sz="0" w:space="0" w:color="auto"/>
        <w:bottom w:val="none" w:sz="0" w:space="0" w:color="auto"/>
        <w:right w:val="none" w:sz="0" w:space="0" w:color="auto"/>
      </w:divBdr>
      <w:divsChild>
        <w:div w:id="268271352">
          <w:marLeft w:val="0"/>
          <w:marRight w:val="0"/>
          <w:marTop w:val="0"/>
          <w:marBottom w:val="0"/>
          <w:divBdr>
            <w:top w:val="none" w:sz="0" w:space="0" w:color="auto"/>
            <w:left w:val="none" w:sz="0" w:space="0" w:color="auto"/>
            <w:bottom w:val="none" w:sz="0" w:space="0" w:color="auto"/>
            <w:right w:val="none" w:sz="0" w:space="0" w:color="auto"/>
          </w:divBdr>
          <w:divsChild>
            <w:div w:id="458109132">
              <w:marLeft w:val="0"/>
              <w:marRight w:val="0"/>
              <w:marTop w:val="0"/>
              <w:marBottom w:val="0"/>
              <w:divBdr>
                <w:top w:val="none" w:sz="0" w:space="0" w:color="auto"/>
                <w:left w:val="none" w:sz="0" w:space="0" w:color="auto"/>
                <w:bottom w:val="none" w:sz="0" w:space="0" w:color="auto"/>
                <w:right w:val="none" w:sz="0" w:space="0" w:color="auto"/>
              </w:divBdr>
            </w:div>
            <w:div w:id="634334122">
              <w:marLeft w:val="0"/>
              <w:marRight w:val="0"/>
              <w:marTop w:val="0"/>
              <w:marBottom w:val="0"/>
              <w:divBdr>
                <w:top w:val="none" w:sz="0" w:space="0" w:color="auto"/>
                <w:left w:val="none" w:sz="0" w:space="0" w:color="auto"/>
                <w:bottom w:val="none" w:sz="0" w:space="0" w:color="auto"/>
                <w:right w:val="none" w:sz="0" w:space="0" w:color="auto"/>
              </w:divBdr>
            </w:div>
            <w:div w:id="9951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4860">
      <w:bodyDiv w:val="1"/>
      <w:marLeft w:val="0"/>
      <w:marRight w:val="0"/>
      <w:marTop w:val="0"/>
      <w:marBottom w:val="0"/>
      <w:divBdr>
        <w:top w:val="none" w:sz="0" w:space="0" w:color="auto"/>
        <w:left w:val="none" w:sz="0" w:space="0" w:color="auto"/>
        <w:bottom w:val="none" w:sz="0" w:space="0" w:color="auto"/>
        <w:right w:val="none" w:sz="0" w:space="0" w:color="auto"/>
      </w:divBdr>
      <w:divsChild>
        <w:div w:id="974915785">
          <w:marLeft w:val="0"/>
          <w:marRight w:val="0"/>
          <w:marTop w:val="0"/>
          <w:marBottom w:val="0"/>
          <w:divBdr>
            <w:top w:val="none" w:sz="0" w:space="0" w:color="auto"/>
            <w:left w:val="none" w:sz="0" w:space="0" w:color="auto"/>
            <w:bottom w:val="none" w:sz="0" w:space="0" w:color="auto"/>
            <w:right w:val="none" w:sz="0" w:space="0" w:color="auto"/>
          </w:divBdr>
          <w:divsChild>
            <w:div w:id="538207488">
              <w:marLeft w:val="0"/>
              <w:marRight w:val="0"/>
              <w:marTop w:val="0"/>
              <w:marBottom w:val="0"/>
              <w:divBdr>
                <w:top w:val="none" w:sz="0" w:space="0" w:color="auto"/>
                <w:left w:val="none" w:sz="0" w:space="0" w:color="auto"/>
                <w:bottom w:val="none" w:sz="0" w:space="0" w:color="auto"/>
                <w:right w:val="none" w:sz="0" w:space="0" w:color="auto"/>
              </w:divBdr>
            </w:div>
            <w:div w:id="987247038">
              <w:marLeft w:val="0"/>
              <w:marRight w:val="0"/>
              <w:marTop w:val="0"/>
              <w:marBottom w:val="0"/>
              <w:divBdr>
                <w:top w:val="none" w:sz="0" w:space="0" w:color="auto"/>
                <w:left w:val="none" w:sz="0" w:space="0" w:color="auto"/>
                <w:bottom w:val="none" w:sz="0" w:space="0" w:color="auto"/>
                <w:right w:val="none" w:sz="0" w:space="0" w:color="auto"/>
              </w:divBdr>
            </w:div>
            <w:div w:id="1169367919">
              <w:marLeft w:val="0"/>
              <w:marRight w:val="0"/>
              <w:marTop w:val="0"/>
              <w:marBottom w:val="0"/>
              <w:divBdr>
                <w:top w:val="none" w:sz="0" w:space="0" w:color="auto"/>
                <w:left w:val="none" w:sz="0" w:space="0" w:color="auto"/>
                <w:bottom w:val="none" w:sz="0" w:space="0" w:color="auto"/>
                <w:right w:val="none" w:sz="0" w:space="0" w:color="auto"/>
              </w:divBdr>
            </w:div>
            <w:div w:id="1497721986">
              <w:marLeft w:val="0"/>
              <w:marRight w:val="0"/>
              <w:marTop w:val="0"/>
              <w:marBottom w:val="0"/>
              <w:divBdr>
                <w:top w:val="none" w:sz="0" w:space="0" w:color="auto"/>
                <w:left w:val="none" w:sz="0" w:space="0" w:color="auto"/>
                <w:bottom w:val="none" w:sz="0" w:space="0" w:color="auto"/>
                <w:right w:val="none" w:sz="0" w:space="0" w:color="auto"/>
              </w:divBdr>
            </w:div>
            <w:div w:id="1682315917">
              <w:marLeft w:val="0"/>
              <w:marRight w:val="0"/>
              <w:marTop w:val="0"/>
              <w:marBottom w:val="0"/>
              <w:divBdr>
                <w:top w:val="none" w:sz="0" w:space="0" w:color="auto"/>
                <w:left w:val="none" w:sz="0" w:space="0" w:color="auto"/>
                <w:bottom w:val="none" w:sz="0" w:space="0" w:color="auto"/>
                <w:right w:val="none" w:sz="0" w:space="0" w:color="auto"/>
              </w:divBdr>
            </w:div>
            <w:div w:id="1820459286">
              <w:marLeft w:val="0"/>
              <w:marRight w:val="0"/>
              <w:marTop w:val="0"/>
              <w:marBottom w:val="0"/>
              <w:divBdr>
                <w:top w:val="none" w:sz="0" w:space="0" w:color="auto"/>
                <w:left w:val="none" w:sz="0" w:space="0" w:color="auto"/>
                <w:bottom w:val="none" w:sz="0" w:space="0" w:color="auto"/>
                <w:right w:val="none" w:sz="0" w:space="0" w:color="auto"/>
              </w:divBdr>
            </w:div>
            <w:div w:id="19978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1717">
      <w:bodyDiv w:val="1"/>
      <w:marLeft w:val="0"/>
      <w:marRight w:val="0"/>
      <w:marTop w:val="0"/>
      <w:marBottom w:val="0"/>
      <w:divBdr>
        <w:top w:val="none" w:sz="0" w:space="0" w:color="auto"/>
        <w:left w:val="none" w:sz="0" w:space="0" w:color="auto"/>
        <w:bottom w:val="none" w:sz="0" w:space="0" w:color="auto"/>
        <w:right w:val="none" w:sz="0" w:space="0" w:color="auto"/>
      </w:divBdr>
      <w:divsChild>
        <w:div w:id="2033416304">
          <w:marLeft w:val="0"/>
          <w:marRight w:val="0"/>
          <w:marTop w:val="0"/>
          <w:marBottom w:val="0"/>
          <w:divBdr>
            <w:top w:val="none" w:sz="0" w:space="0" w:color="auto"/>
            <w:left w:val="none" w:sz="0" w:space="0" w:color="auto"/>
            <w:bottom w:val="none" w:sz="0" w:space="0" w:color="auto"/>
            <w:right w:val="none" w:sz="0" w:space="0" w:color="auto"/>
          </w:divBdr>
          <w:divsChild>
            <w:div w:id="136530365">
              <w:marLeft w:val="0"/>
              <w:marRight w:val="0"/>
              <w:marTop w:val="0"/>
              <w:marBottom w:val="0"/>
              <w:divBdr>
                <w:top w:val="none" w:sz="0" w:space="0" w:color="auto"/>
                <w:left w:val="none" w:sz="0" w:space="0" w:color="auto"/>
                <w:bottom w:val="none" w:sz="0" w:space="0" w:color="auto"/>
                <w:right w:val="none" w:sz="0" w:space="0" w:color="auto"/>
              </w:divBdr>
            </w:div>
            <w:div w:id="951017151">
              <w:marLeft w:val="0"/>
              <w:marRight w:val="0"/>
              <w:marTop w:val="0"/>
              <w:marBottom w:val="0"/>
              <w:divBdr>
                <w:top w:val="none" w:sz="0" w:space="0" w:color="auto"/>
                <w:left w:val="none" w:sz="0" w:space="0" w:color="auto"/>
                <w:bottom w:val="none" w:sz="0" w:space="0" w:color="auto"/>
                <w:right w:val="none" w:sz="0" w:space="0" w:color="auto"/>
              </w:divBdr>
            </w:div>
            <w:div w:id="1233154223">
              <w:marLeft w:val="0"/>
              <w:marRight w:val="0"/>
              <w:marTop w:val="0"/>
              <w:marBottom w:val="0"/>
              <w:divBdr>
                <w:top w:val="none" w:sz="0" w:space="0" w:color="auto"/>
                <w:left w:val="none" w:sz="0" w:space="0" w:color="auto"/>
                <w:bottom w:val="none" w:sz="0" w:space="0" w:color="auto"/>
                <w:right w:val="none" w:sz="0" w:space="0" w:color="auto"/>
              </w:divBdr>
            </w:div>
            <w:div w:id="1487091935">
              <w:marLeft w:val="0"/>
              <w:marRight w:val="0"/>
              <w:marTop w:val="0"/>
              <w:marBottom w:val="0"/>
              <w:divBdr>
                <w:top w:val="none" w:sz="0" w:space="0" w:color="auto"/>
                <w:left w:val="none" w:sz="0" w:space="0" w:color="auto"/>
                <w:bottom w:val="none" w:sz="0" w:space="0" w:color="auto"/>
                <w:right w:val="none" w:sz="0" w:space="0" w:color="auto"/>
              </w:divBdr>
            </w:div>
            <w:div w:id="1520585332">
              <w:marLeft w:val="0"/>
              <w:marRight w:val="0"/>
              <w:marTop w:val="0"/>
              <w:marBottom w:val="0"/>
              <w:divBdr>
                <w:top w:val="none" w:sz="0" w:space="0" w:color="auto"/>
                <w:left w:val="none" w:sz="0" w:space="0" w:color="auto"/>
                <w:bottom w:val="none" w:sz="0" w:space="0" w:color="auto"/>
                <w:right w:val="none" w:sz="0" w:space="0" w:color="auto"/>
              </w:divBdr>
            </w:div>
            <w:div w:id="1737821757">
              <w:marLeft w:val="0"/>
              <w:marRight w:val="0"/>
              <w:marTop w:val="0"/>
              <w:marBottom w:val="0"/>
              <w:divBdr>
                <w:top w:val="none" w:sz="0" w:space="0" w:color="auto"/>
                <w:left w:val="none" w:sz="0" w:space="0" w:color="auto"/>
                <w:bottom w:val="none" w:sz="0" w:space="0" w:color="auto"/>
                <w:right w:val="none" w:sz="0" w:space="0" w:color="auto"/>
              </w:divBdr>
            </w:div>
            <w:div w:id="1859125284">
              <w:marLeft w:val="0"/>
              <w:marRight w:val="0"/>
              <w:marTop w:val="0"/>
              <w:marBottom w:val="0"/>
              <w:divBdr>
                <w:top w:val="none" w:sz="0" w:space="0" w:color="auto"/>
                <w:left w:val="none" w:sz="0" w:space="0" w:color="auto"/>
                <w:bottom w:val="none" w:sz="0" w:space="0" w:color="auto"/>
                <w:right w:val="none" w:sz="0" w:space="0" w:color="auto"/>
              </w:divBdr>
            </w:div>
            <w:div w:id="20533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7209">
      <w:bodyDiv w:val="1"/>
      <w:marLeft w:val="0"/>
      <w:marRight w:val="0"/>
      <w:marTop w:val="0"/>
      <w:marBottom w:val="0"/>
      <w:divBdr>
        <w:top w:val="none" w:sz="0" w:space="0" w:color="auto"/>
        <w:left w:val="none" w:sz="0" w:space="0" w:color="auto"/>
        <w:bottom w:val="none" w:sz="0" w:space="0" w:color="auto"/>
        <w:right w:val="none" w:sz="0" w:space="0" w:color="auto"/>
      </w:divBdr>
      <w:divsChild>
        <w:div w:id="359626470">
          <w:marLeft w:val="0"/>
          <w:marRight w:val="0"/>
          <w:marTop w:val="0"/>
          <w:marBottom w:val="0"/>
          <w:divBdr>
            <w:top w:val="none" w:sz="0" w:space="0" w:color="auto"/>
            <w:left w:val="none" w:sz="0" w:space="0" w:color="auto"/>
            <w:bottom w:val="none" w:sz="0" w:space="0" w:color="auto"/>
            <w:right w:val="none" w:sz="0" w:space="0" w:color="auto"/>
          </w:divBdr>
          <w:divsChild>
            <w:div w:id="404256470">
              <w:marLeft w:val="0"/>
              <w:marRight w:val="0"/>
              <w:marTop w:val="0"/>
              <w:marBottom w:val="0"/>
              <w:divBdr>
                <w:top w:val="none" w:sz="0" w:space="0" w:color="auto"/>
                <w:left w:val="none" w:sz="0" w:space="0" w:color="auto"/>
                <w:bottom w:val="none" w:sz="0" w:space="0" w:color="auto"/>
                <w:right w:val="none" w:sz="0" w:space="0" w:color="auto"/>
              </w:divBdr>
              <w:divsChild>
                <w:div w:id="477183871">
                  <w:marLeft w:val="0"/>
                  <w:marRight w:val="0"/>
                  <w:marTop w:val="0"/>
                  <w:marBottom w:val="0"/>
                  <w:divBdr>
                    <w:top w:val="none" w:sz="0" w:space="0" w:color="auto"/>
                    <w:left w:val="none" w:sz="0" w:space="0" w:color="auto"/>
                    <w:bottom w:val="none" w:sz="0" w:space="0" w:color="auto"/>
                    <w:right w:val="none" w:sz="0" w:space="0" w:color="auto"/>
                  </w:divBdr>
                  <w:divsChild>
                    <w:div w:id="1075936796">
                      <w:marLeft w:val="0"/>
                      <w:marRight w:val="0"/>
                      <w:marTop w:val="0"/>
                      <w:marBottom w:val="0"/>
                      <w:divBdr>
                        <w:top w:val="none" w:sz="0" w:space="0" w:color="auto"/>
                        <w:left w:val="none" w:sz="0" w:space="0" w:color="auto"/>
                        <w:bottom w:val="none" w:sz="0" w:space="0" w:color="auto"/>
                        <w:right w:val="none" w:sz="0" w:space="0" w:color="auto"/>
                      </w:divBdr>
                      <w:divsChild>
                        <w:div w:id="584923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474412">
                          <w:marLeft w:val="105"/>
                          <w:marRight w:val="105"/>
                          <w:marTop w:val="105"/>
                          <w:marBottom w:val="105"/>
                          <w:divBdr>
                            <w:top w:val="none" w:sz="0" w:space="0" w:color="auto"/>
                            <w:left w:val="none" w:sz="0" w:space="0" w:color="auto"/>
                            <w:bottom w:val="none" w:sz="0" w:space="0" w:color="auto"/>
                            <w:right w:val="none" w:sz="0" w:space="0" w:color="auto"/>
                          </w:divBdr>
                          <w:divsChild>
                            <w:div w:id="179399896">
                              <w:marLeft w:val="0"/>
                              <w:marRight w:val="0"/>
                              <w:marTop w:val="0"/>
                              <w:marBottom w:val="0"/>
                              <w:divBdr>
                                <w:top w:val="none" w:sz="0" w:space="0" w:color="auto"/>
                                <w:left w:val="none" w:sz="0" w:space="0" w:color="auto"/>
                                <w:bottom w:val="none" w:sz="0" w:space="0" w:color="auto"/>
                                <w:right w:val="none" w:sz="0" w:space="0" w:color="auto"/>
                              </w:divBdr>
                            </w:div>
                            <w:div w:id="16833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503138">
      <w:bodyDiv w:val="1"/>
      <w:marLeft w:val="0"/>
      <w:marRight w:val="0"/>
      <w:marTop w:val="0"/>
      <w:marBottom w:val="0"/>
      <w:divBdr>
        <w:top w:val="none" w:sz="0" w:space="0" w:color="auto"/>
        <w:left w:val="none" w:sz="0" w:space="0" w:color="auto"/>
        <w:bottom w:val="none" w:sz="0" w:space="0" w:color="auto"/>
        <w:right w:val="none" w:sz="0" w:space="0" w:color="auto"/>
      </w:divBdr>
      <w:divsChild>
        <w:div w:id="1844975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27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7059329">
      <w:bodyDiv w:val="1"/>
      <w:marLeft w:val="0"/>
      <w:marRight w:val="0"/>
      <w:marTop w:val="0"/>
      <w:marBottom w:val="0"/>
      <w:divBdr>
        <w:top w:val="none" w:sz="0" w:space="0" w:color="auto"/>
        <w:left w:val="none" w:sz="0" w:space="0" w:color="auto"/>
        <w:bottom w:val="none" w:sz="0" w:space="0" w:color="auto"/>
        <w:right w:val="none" w:sz="0" w:space="0" w:color="auto"/>
      </w:divBdr>
      <w:divsChild>
        <w:div w:id="351994587">
          <w:marLeft w:val="0"/>
          <w:marRight w:val="0"/>
          <w:marTop w:val="335"/>
          <w:marBottom w:val="335"/>
          <w:divBdr>
            <w:top w:val="none" w:sz="0" w:space="0" w:color="auto"/>
            <w:left w:val="none" w:sz="0" w:space="0" w:color="auto"/>
            <w:bottom w:val="none" w:sz="0" w:space="0" w:color="auto"/>
            <w:right w:val="none" w:sz="0" w:space="0" w:color="auto"/>
          </w:divBdr>
          <w:divsChild>
            <w:div w:id="48382534">
              <w:marLeft w:val="0"/>
              <w:marRight w:val="0"/>
              <w:marTop w:val="0"/>
              <w:marBottom w:val="0"/>
              <w:divBdr>
                <w:top w:val="none" w:sz="0" w:space="0" w:color="auto"/>
                <w:left w:val="none" w:sz="0" w:space="0" w:color="auto"/>
                <w:bottom w:val="none" w:sz="0" w:space="0" w:color="auto"/>
                <w:right w:val="none" w:sz="0" w:space="0" w:color="auto"/>
              </w:divBdr>
              <w:divsChild>
                <w:div w:id="1517386000">
                  <w:marLeft w:val="0"/>
                  <w:marRight w:val="0"/>
                  <w:marTop w:val="0"/>
                  <w:marBottom w:val="0"/>
                  <w:divBdr>
                    <w:top w:val="none" w:sz="0" w:space="0" w:color="auto"/>
                    <w:left w:val="none" w:sz="0" w:space="0" w:color="auto"/>
                    <w:bottom w:val="none" w:sz="0" w:space="0" w:color="auto"/>
                    <w:right w:val="none" w:sz="0" w:space="0" w:color="auto"/>
                  </w:divBdr>
                  <w:divsChild>
                    <w:div w:id="528757732">
                      <w:marLeft w:val="335"/>
                      <w:marRight w:val="0"/>
                      <w:marTop w:val="0"/>
                      <w:marBottom w:val="0"/>
                      <w:divBdr>
                        <w:top w:val="none" w:sz="0" w:space="0" w:color="auto"/>
                        <w:left w:val="none" w:sz="0" w:space="0" w:color="auto"/>
                        <w:bottom w:val="none" w:sz="0" w:space="0" w:color="auto"/>
                        <w:right w:val="none" w:sz="0" w:space="0" w:color="auto"/>
                      </w:divBdr>
                      <w:divsChild>
                        <w:div w:id="1352949357">
                          <w:marLeft w:val="0"/>
                          <w:marRight w:val="0"/>
                          <w:marTop w:val="0"/>
                          <w:marBottom w:val="0"/>
                          <w:divBdr>
                            <w:top w:val="none" w:sz="0" w:space="0" w:color="auto"/>
                            <w:left w:val="none" w:sz="0" w:space="0" w:color="auto"/>
                            <w:bottom w:val="none" w:sz="0" w:space="0" w:color="auto"/>
                            <w:right w:val="none" w:sz="0" w:space="0" w:color="auto"/>
                          </w:divBdr>
                          <w:divsChild>
                            <w:div w:id="343365543">
                              <w:marLeft w:val="0"/>
                              <w:marRight w:val="0"/>
                              <w:marTop w:val="0"/>
                              <w:marBottom w:val="335"/>
                              <w:divBdr>
                                <w:top w:val="none" w:sz="0" w:space="0" w:color="auto"/>
                                <w:left w:val="none" w:sz="0" w:space="0" w:color="auto"/>
                                <w:bottom w:val="none" w:sz="0" w:space="0" w:color="auto"/>
                                <w:right w:val="none" w:sz="0" w:space="0" w:color="auto"/>
                              </w:divBdr>
                              <w:divsChild>
                                <w:div w:id="237176486">
                                  <w:marLeft w:val="251"/>
                                  <w:marRight w:val="251"/>
                                  <w:marTop w:val="84"/>
                                  <w:marBottom w:val="84"/>
                                  <w:divBdr>
                                    <w:top w:val="none" w:sz="0" w:space="0" w:color="auto"/>
                                    <w:left w:val="none" w:sz="0" w:space="0" w:color="auto"/>
                                    <w:bottom w:val="none" w:sz="0" w:space="0" w:color="auto"/>
                                    <w:right w:val="none" w:sz="0" w:space="0" w:color="auto"/>
                                  </w:divBdr>
                                  <w:divsChild>
                                    <w:div w:id="510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706543">
      <w:bodyDiv w:val="1"/>
      <w:marLeft w:val="0"/>
      <w:marRight w:val="0"/>
      <w:marTop w:val="0"/>
      <w:marBottom w:val="0"/>
      <w:divBdr>
        <w:top w:val="none" w:sz="0" w:space="0" w:color="auto"/>
        <w:left w:val="none" w:sz="0" w:space="0" w:color="auto"/>
        <w:bottom w:val="none" w:sz="0" w:space="0" w:color="auto"/>
        <w:right w:val="none" w:sz="0" w:space="0" w:color="auto"/>
      </w:divBdr>
      <w:divsChild>
        <w:div w:id="1191139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119352">
              <w:blockQuote w:val="1"/>
              <w:marLeft w:val="720"/>
              <w:marRight w:val="720"/>
              <w:marTop w:val="100"/>
              <w:marBottom w:val="100"/>
              <w:divBdr>
                <w:top w:val="none" w:sz="0" w:space="0" w:color="auto"/>
                <w:left w:val="none" w:sz="0" w:space="0" w:color="auto"/>
                <w:bottom w:val="none" w:sz="0" w:space="0" w:color="auto"/>
                <w:right w:val="none" w:sz="0" w:space="0" w:color="auto"/>
              </w:divBdr>
            </w:div>
            <w:div w:id="52798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017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4530444">
      <w:bodyDiv w:val="1"/>
      <w:marLeft w:val="0"/>
      <w:marRight w:val="0"/>
      <w:marTop w:val="0"/>
      <w:marBottom w:val="0"/>
      <w:divBdr>
        <w:top w:val="none" w:sz="0" w:space="0" w:color="auto"/>
        <w:left w:val="none" w:sz="0" w:space="0" w:color="auto"/>
        <w:bottom w:val="none" w:sz="0" w:space="0" w:color="auto"/>
        <w:right w:val="none" w:sz="0" w:space="0" w:color="auto"/>
      </w:divBdr>
    </w:div>
    <w:div w:id="302778481">
      <w:bodyDiv w:val="1"/>
      <w:marLeft w:val="0"/>
      <w:marRight w:val="0"/>
      <w:marTop w:val="0"/>
      <w:marBottom w:val="0"/>
      <w:divBdr>
        <w:top w:val="none" w:sz="0" w:space="0" w:color="auto"/>
        <w:left w:val="none" w:sz="0" w:space="0" w:color="auto"/>
        <w:bottom w:val="none" w:sz="0" w:space="0" w:color="auto"/>
        <w:right w:val="none" w:sz="0" w:space="0" w:color="auto"/>
      </w:divBdr>
      <w:divsChild>
        <w:div w:id="1085953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344142">
              <w:blockQuote w:val="1"/>
              <w:marLeft w:val="720"/>
              <w:marRight w:val="720"/>
              <w:marTop w:val="100"/>
              <w:marBottom w:val="100"/>
              <w:divBdr>
                <w:top w:val="none" w:sz="0" w:space="0" w:color="auto"/>
                <w:left w:val="none" w:sz="0" w:space="0" w:color="auto"/>
                <w:bottom w:val="none" w:sz="0" w:space="0" w:color="auto"/>
                <w:right w:val="none" w:sz="0" w:space="0" w:color="auto"/>
              </w:divBdr>
            </w:div>
            <w:div w:id="337344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8845159">
      <w:bodyDiv w:val="1"/>
      <w:marLeft w:val="0"/>
      <w:marRight w:val="0"/>
      <w:marTop w:val="0"/>
      <w:marBottom w:val="0"/>
      <w:divBdr>
        <w:top w:val="none" w:sz="0" w:space="0" w:color="auto"/>
        <w:left w:val="none" w:sz="0" w:space="0" w:color="auto"/>
        <w:bottom w:val="none" w:sz="0" w:space="0" w:color="auto"/>
        <w:right w:val="none" w:sz="0" w:space="0" w:color="auto"/>
      </w:divBdr>
      <w:divsChild>
        <w:div w:id="1519738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084113">
      <w:bodyDiv w:val="1"/>
      <w:marLeft w:val="0"/>
      <w:marRight w:val="0"/>
      <w:marTop w:val="0"/>
      <w:marBottom w:val="0"/>
      <w:divBdr>
        <w:top w:val="none" w:sz="0" w:space="0" w:color="auto"/>
        <w:left w:val="none" w:sz="0" w:space="0" w:color="auto"/>
        <w:bottom w:val="none" w:sz="0" w:space="0" w:color="auto"/>
        <w:right w:val="none" w:sz="0" w:space="0" w:color="auto"/>
      </w:divBdr>
      <w:divsChild>
        <w:div w:id="1719085933">
          <w:marLeft w:val="0"/>
          <w:marRight w:val="0"/>
          <w:marTop w:val="0"/>
          <w:marBottom w:val="0"/>
          <w:divBdr>
            <w:top w:val="none" w:sz="0" w:space="0" w:color="auto"/>
            <w:left w:val="none" w:sz="0" w:space="0" w:color="auto"/>
            <w:bottom w:val="none" w:sz="0" w:space="0" w:color="auto"/>
            <w:right w:val="none" w:sz="0" w:space="0" w:color="auto"/>
          </w:divBdr>
          <w:divsChild>
            <w:div w:id="25644128">
              <w:marLeft w:val="0"/>
              <w:marRight w:val="0"/>
              <w:marTop w:val="0"/>
              <w:marBottom w:val="0"/>
              <w:divBdr>
                <w:top w:val="none" w:sz="0" w:space="0" w:color="auto"/>
                <w:left w:val="none" w:sz="0" w:space="0" w:color="auto"/>
                <w:bottom w:val="none" w:sz="0" w:space="0" w:color="auto"/>
                <w:right w:val="none" w:sz="0" w:space="0" w:color="auto"/>
              </w:divBdr>
            </w:div>
            <w:div w:id="218786003">
              <w:marLeft w:val="0"/>
              <w:marRight w:val="0"/>
              <w:marTop w:val="0"/>
              <w:marBottom w:val="0"/>
              <w:divBdr>
                <w:top w:val="none" w:sz="0" w:space="0" w:color="auto"/>
                <w:left w:val="none" w:sz="0" w:space="0" w:color="auto"/>
                <w:bottom w:val="none" w:sz="0" w:space="0" w:color="auto"/>
                <w:right w:val="none" w:sz="0" w:space="0" w:color="auto"/>
              </w:divBdr>
            </w:div>
            <w:div w:id="313417731">
              <w:marLeft w:val="0"/>
              <w:marRight w:val="0"/>
              <w:marTop w:val="0"/>
              <w:marBottom w:val="0"/>
              <w:divBdr>
                <w:top w:val="none" w:sz="0" w:space="0" w:color="auto"/>
                <w:left w:val="none" w:sz="0" w:space="0" w:color="auto"/>
                <w:bottom w:val="none" w:sz="0" w:space="0" w:color="auto"/>
                <w:right w:val="none" w:sz="0" w:space="0" w:color="auto"/>
              </w:divBdr>
            </w:div>
            <w:div w:id="689263191">
              <w:marLeft w:val="0"/>
              <w:marRight w:val="0"/>
              <w:marTop w:val="0"/>
              <w:marBottom w:val="0"/>
              <w:divBdr>
                <w:top w:val="none" w:sz="0" w:space="0" w:color="auto"/>
                <w:left w:val="none" w:sz="0" w:space="0" w:color="auto"/>
                <w:bottom w:val="none" w:sz="0" w:space="0" w:color="auto"/>
                <w:right w:val="none" w:sz="0" w:space="0" w:color="auto"/>
              </w:divBdr>
            </w:div>
            <w:div w:id="1007292301">
              <w:marLeft w:val="0"/>
              <w:marRight w:val="0"/>
              <w:marTop w:val="0"/>
              <w:marBottom w:val="0"/>
              <w:divBdr>
                <w:top w:val="none" w:sz="0" w:space="0" w:color="auto"/>
                <w:left w:val="none" w:sz="0" w:space="0" w:color="auto"/>
                <w:bottom w:val="none" w:sz="0" w:space="0" w:color="auto"/>
                <w:right w:val="none" w:sz="0" w:space="0" w:color="auto"/>
              </w:divBdr>
            </w:div>
            <w:div w:id="1999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59785">
      <w:bodyDiv w:val="1"/>
      <w:marLeft w:val="0"/>
      <w:marRight w:val="0"/>
      <w:marTop w:val="0"/>
      <w:marBottom w:val="0"/>
      <w:divBdr>
        <w:top w:val="none" w:sz="0" w:space="0" w:color="auto"/>
        <w:left w:val="none" w:sz="0" w:space="0" w:color="auto"/>
        <w:bottom w:val="none" w:sz="0" w:space="0" w:color="auto"/>
        <w:right w:val="none" w:sz="0" w:space="0" w:color="auto"/>
      </w:divBdr>
      <w:divsChild>
        <w:div w:id="1444305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019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6467245">
      <w:bodyDiv w:val="1"/>
      <w:marLeft w:val="0"/>
      <w:marRight w:val="0"/>
      <w:marTop w:val="0"/>
      <w:marBottom w:val="0"/>
      <w:divBdr>
        <w:top w:val="none" w:sz="0" w:space="0" w:color="auto"/>
        <w:left w:val="none" w:sz="0" w:space="0" w:color="auto"/>
        <w:bottom w:val="none" w:sz="0" w:space="0" w:color="auto"/>
        <w:right w:val="none" w:sz="0" w:space="0" w:color="auto"/>
      </w:divBdr>
      <w:divsChild>
        <w:div w:id="431780272">
          <w:marLeft w:val="0"/>
          <w:marRight w:val="0"/>
          <w:marTop w:val="0"/>
          <w:marBottom w:val="0"/>
          <w:divBdr>
            <w:top w:val="none" w:sz="0" w:space="0" w:color="auto"/>
            <w:left w:val="none" w:sz="0" w:space="0" w:color="auto"/>
            <w:bottom w:val="none" w:sz="0" w:space="0" w:color="auto"/>
            <w:right w:val="none" w:sz="0" w:space="0" w:color="auto"/>
          </w:divBdr>
          <w:divsChild>
            <w:div w:id="235171043">
              <w:marLeft w:val="0"/>
              <w:marRight w:val="0"/>
              <w:marTop w:val="0"/>
              <w:marBottom w:val="0"/>
              <w:divBdr>
                <w:top w:val="none" w:sz="0" w:space="0" w:color="auto"/>
                <w:left w:val="none" w:sz="0" w:space="0" w:color="auto"/>
                <w:bottom w:val="none" w:sz="0" w:space="0" w:color="auto"/>
                <w:right w:val="none" w:sz="0" w:space="0" w:color="auto"/>
              </w:divBdr>
            </w:div>
            <w:div w:id="260382821">
              <w:marLeft w:val="0"/>
              <w:marRight w:val="0"/>
              <w:marTop w:val="0"/>
              <w:marBottom w:val="0"/>
              <w:divBdr>
                <w:top w:val="none" w:sz="0" w:space="0" w:color="auto"/>
                <w:left w:val="none" w:sz="0" w:space="0" w:color="auto"/>
                <w:bottom w:val="none" w:sz="0" w:space="0" w:color="auto"/>
                <w:right w:val="none" w:sz="0" w:space="0" w:color="auto"/>
              </w:divBdr>
            </w:div>
            <w:div w:id="516888529">
              <w:marLeft w:val="0"/>
              <w:marRight w:val="0"/>
              <w:marTop w:val="0"/>
              <w:marBottom w:val="0"/>
              <w:divBdr>
                <w:top w:val="none" w:sz="0" w:space="0" w:color="auto"/>
                <w:left w:val="none" w:sz="0" w:space="0" w:color="auto"/>
                <w:bottom w:val="none" w:sz="0" w:space="0" w:color="auto"/>
                <w:right w:val="none" w:sz="0" w:space="0" w:color="auto"/>
              </w:divBdr>
            </w:div>
            <w:div w:id="642975171">
              <w:marLeft w:val="0"/>
              <w:marRight w:val="0"/>
              <w:marTop w:val="0"/>
              <w:marBottom w:val="0"/>
              <w:divBdr>
                <w:top w:val="none" w:sz="0" w:space="0" w:color="auto"/>
                <w:left w:val="none" w:sz="0" w:space="0" w:color="auto"/>
                <w:bottom w:val="none" w:sz="0" w:space="0" w:color="auto"/>
                <w:right w:val="none" w:sz="0" w:space="0" w:color="auto"/>
              </w:divBdr>
            </w:div>
            <w:div w:id="1092817016">
              <w:marLeft w:val="0"/>
              <w:marRight w:val="0"/>
              <w:marTop w:val="0"/>
              <w:marBottom w:val="0"/>
              <w:divBdr>
                <w:top w:val="none" w:sz="0" w:space="0" w:color="auto"/>
                <w:left w:val="none" w:sz="0" w:space="0" w:color="auto"/>
                <w:bottom w:val="none" w:sz="0" w:space="0" w:color="auto"/>
                <w:right w:val="none" w:sz="0" w:space="0" w:color="auto"/>
              </w:divBdr>
            </w:div>
            <w:div w:id="1093162984">
              <w:marLeft w:val="0"/>
              <w:marRight w:val="0"/>
              <w:marTop w:val="0"/>
              <w:marBottom w:val="0"/>
              <w:divBdr>
                <w:top w:val="none" w:sz="0" w:space="0" w:color="auto"/>
                <w:left w:val="none" w:sz="0" w:space="0" w:color="auto"/>
                <w:bottom w:val="none" w:sz="0" w:space="0" w:color="auto"/>
                <w:right w:val="none" w:sz="0" w:space="0" w:color="auto"/>
              </w:divBdr>
            </w:div>
            <w:div w:id="1509757903">
              <w:marLeft w:val="0"/>
              <w:marRight w:val="0"/>
              <w:marTop w:val="0"/>
              <w:marBottom w:val="0"/>
              <w:divBdr>
                <w:top w:val="none" w:sz="0" w:space="0" w:color="auto"/>
                <w:left w:val="none" w:sz="0" w:space="0" w:color="auto"/>
                <w:bottom w:val="none" w:sz="0" w:space="0" w:color="auto"/>
                <w:right w:val="none" w:sz="0" w:space="0" w:color="auto"/>
              </w:divBdr>
            </w:div>
            <w:div w:id="1805730534">
              <w:marLeft w:val="0"/>
              <w:marRight w:val="0"/>
              <w:marTop w:val="0"/>
              <w:marBottom w:val="0"/>
              <w:divBdr>
                <w:top w:val="none" w:sz="0" w:space="0" w:color="auto"/>
                <w:left w:val="none" w:sz="0" w:space="0" w:color="auto"/>
                <w:bottom w:val="none" w:sz="0" w:space="0" w:color="auto"/>
                <w:right w:val="none" w:sz="0" w:space="0" w:color="auto"/>
              </w:divBdr>
            </w:div>
            <w:div w:id="2080054291">
              <w:marLeft w:val="0"/>
              <w:marRight w:val="0"/>
              <w:marTop w:val="0"/>
              <w:marBottom w:val="0"/>
              <w:divBdr>
                <w:top w:val="none" w:sz="0" w:space="0" w:color="auto"/>
                <w:left w:val="none" w:sz="0" w:space="0" w:color="auto"/>
                <w:bottom w:val="none" w:sz="0" w:space="0" w:color="auto"/>
                <w:right w:val="none" w:sz="0" w:space="0" w:color="auto"/>
              </w:divBdr>
            </w:div>
            <w:div w:id="2098557884">
              <w:marLeft w:val="0"/>
              <w:marRight w:val="0"/>
              <w:marTop w:val="0"/>
              <w:marBottom w:val="0"/>
              <w:divBdr>
                <w:top w:val="none" w:sz="0" w:space="0" w:color="auto"/>
                <w:left w:val="none" w:sz="0" w:space="0" w:color="auto"/>
                <w:bottom w:val="none" w:sz="0" w:space="0" w:color="auto"/>
                <w:right w:val="none" w:sz="0" w:space="0" w:color="auto"/>
              </w:divBdr>
            </w:div>
            <w:div w:id="21014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6124">
      <w:bodyDiv w:val="1"/>
      <w:marLeft w:val="0"/>
      <w:marRight w:val="0"/>
      <w:marTop w:val="0"/>
      <w:marBottom w:val="0"/>
      <w:divBdr>
        <w:top w:val="none" w:sz="0" w:space="0" w:color="auto"/>
        <w:left w:val="none" w:sz="0" w:space="0" w:color="auto"/>
        <w:bottom w:val="none" w:sz="0" w:space="0" w:color="auto"/>
        <w:right w:val="none" w:sz="0" w:space="0" w:color="auto"/>
      </w:divBdr>
      <w:divsChild>
        <w:div w:id="1561792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7217997">
      <w:bodyDiv w:val="1"/>
      <w:marLeft w:val="0"/>
      <w:marRight w:val="0"/>
      <w:marTop w:val="0"/>
      <w:marBottom w:val="0"/>
      <w:divBdr>
        <w:top w:val="none" w:sz="0" w:space="0" w:color="auto"/>
        <w:left w:val="none" w:sz="0" w:space="0" w:color="auto"/>
        <w:bottom w:val="none" w:sz="0" w:space="0" w:color="auto"/>
        <w:right w:val="none" w:sz="0" w:space="0" w:color="auto"/>
      </w:divBdr>
      <w:divsChild>
        <w:div w:id="451363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22175">
              <w:blockQuote w:val="1"/>
              <w:marLeft w:val="720"/>
              <w:marRight w:val="720"/>
              <w:marTop w:val="100"/>
              <w:marBottom w:val="100"/>
              <w:divBdr>
                <w:top w:val="none" w:sz="0" w:space="0" w:color="auto"/>
                <w:left w:val="none" w:sz="0" w:space="0" w:color="auto"/>
                <w:bottom w:val="none" w:sz="0" w:space="0" w:color="auto"/>
                <w:right w:val="none" w:sz="0" w:space="0" w:color="auto"/>
              </w:divBdr>
            </w:div>
            <w:div w:id="223029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35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620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881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513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68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1111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8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07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528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190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5450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725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203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199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272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35280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170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9300234">
      <w:bodyDiv w:val="1"/>
      <w:marLeft w:val="0"/>
      <w:marRight w:val="0"/>
      <w:marTop w:val="0"/>
      <w:marBottom w:val="0"/>
      <w:divBdr>
        <w:top w:val="none" w:sz="0" w:space="0" w:color="auto"/>
        <w:left w:val="none" w:sz="0" w:space="0" w:color="auto"/>
        <w:bottom w:val="none" w:sz="0" w:space="0" w:color="auto"/>
        <w:right w:val="none" w:sz="0" w:space="0" w:color="auto"/>
      </w:divBdr>
      <w:divsChild>
        <w:div w:id="1500272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08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5218965">
      <w:bodyDiv w:val="1"/>
      <w:marLeft w:val="0"/>
      <w:marRight w:val="0"/>
      <w:marTop w:val="0"/>
      <w:marBottom w:val="0"/>
      <w:divBdr>
        <w:top w:val="none" w:sz="0" w:space="0" w:color="auto"/>
        <w:left w:val="none" w:sz="0" w:space="0" w:color="auto"/>
        <w:bottom w:val="none" w:sz="0" w:space="0" w:color="auto"/>
        <w:right w:val="none" w:sz="0" w:space="0" w:color="auto"/>
      </w:divBdr>
      <w:divsChild>
        <w:div w:id="844634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12665">
      <w:bodyDiv w:val="1"/>
      <w:marLeft w:val="0"/>
      <w:marRight w:val="0"/>
      <w:marTop w:val="0"/>
      <w:marBottom w:val="0"/>
      <w:divBdr>
        <w:top w:val="none" w:sz="0" w:space="0" w:color="auto"/>
        <w:left w:val="none" w:sz="0" w:space="0" w:color="auto"/>
        <w:bottom w:val="none" w:sz="0" w:space="0" w:color="auto"/>
        <w:right w:val="none" w:sz="0" w:space="0" w:color="auto"/>
      </w:divBdr>
      <w:divsChild>
        <w:div w:id="1591158757">
          <w:marLeft w:val="0"/>
          <w:marRight w:val="0"/>
          <w:marTop w:val="0"/>
          <w:marBottom w:val="0"/>
          <w:divBdr>
            <w:top w:val="none" w:sz="0" w:space="0" w:color="auto"/>
            <w:left w:val="none" w:sz="0" w:space="0" w:color="auto"/>
            <w:bottom w:val="none" w:sz="0" w:space="0" w:color="auto"/>
            <w:right w:val="none" w:sz="0" w:space="0" w:color="auto"/>
          </w:divBdr>
          <w:divsChild>
            <w:div w:id="65031432">
              <w:marLeft w:val="0"/>
              <w:marRight w:val="0"/>
              <w:marTop w:val="0"/>
              <w:marBottom w:val="0"/>
              <w:divBdr>
                <w:top w:val="none" w:sz="0" w:space="0" w:color="auto"/>
                <w:left w:val="none" w:sz="0" w:space="0" w:color="auto"/>
                <w:bottom w:val="none" w:sz="0" w:space="0" w:color="auto"/>
                <w:right w:val="none" w:sz="0" w:space="0" w:color="auto"/>
              </w:divBdr>
            </w:div>
            <w:div w:id="743449136">
              <w:marLeft w:val="0"/>
              <w:marRight w:val="0"/>
              <w:marTop w:val="0"/>
              <w:marBottom w:val="0"/>
              <w:divBdr>
                <w:top w:val="none" w:sz="0" w:space="0" w:color="auto"/>
                <w:left w:val="none" w:sz="0" w:space="0" w:color="auto"/>
                <w:bottom w:val="none" w:sz="0" w:space="0" w:color="auto"/>
                <w:right w:val="none" w:sz="0" w:space="0" w:color="auto"/>
              </w:divBdr>
            </w:div>
            <w:div w:id="816650795">
              <w:marLeft w:val="0"/>
              <w:marRight w:val="0"/>
              <w:marTop w:val="0"/>
              <w:marBottom w:val="0"/>
              <w:divBdr>
                <w:top w:val="none" w:sz="0" w:space="0" w:color="auto"/>
                <w:left w:val="none" w:sz="0" w:space="0" w:color="auto"/>
                <w:bottom w:val="none" w:sz="0" w:space="0" w:color="auto"/>
                <w:right w:val="none" w:sz="0" w:space="0" w:color="auto"/>
              </w:divBdr>
            </w:div>
            <w:div w:id="1169097954">
              <w:marLeft w:val="0"/>
              <w:marRight w:val="0"/>
              <w:marTop w:val="0"/>
              <w:marBottom w:val="0"/>
              <w:divBdr>
                <w:top w:val="none" w:sz="0" w:space="0" w:color="auto"/>
                <w:left w:val="none" w:sz="0" w:space="0" w:color="auto"/>
                <w:bottom w:val="none" w:sz="0" w:space="0" w:color="auto"/>
                <w:right w:val="none" w:sz="0" w:space="0" w:color="auto"/>
              </w:divBdr>
            </w:div>
            <w:div w:id="1471553069">
              <w:marLeft w:val="0"/>
              <w:marRight w:val="0"/>
              <w:marTop w:val="0"/>
              <w:marBottom w:val="0"/>
              <w:divBdr>
                <w:top w:val="none" w:sz="0" w:space="0" w:color="auto"/>
                <w:left w:val="none" w:sz="0" w:space="0" w:color="auto"/>
                <w:bottom w:val="none" w:sz="0" w:space="0" w:color="auto"/>
                <w:right w:val="none" w:sz="0" w:space="0" w:color="auto"/>
              </w:divBdr>
            </w:div>
            <w:div w:id="1641423283">
              <w:marLeft w:val="0"/>
              <w:marRight w:val="0"/>
              <w:marTop w:val="0"/>
              <w:marBottom w:val="0"/>
              <w:divBdr>
                <w:top w:val="none" w:sz="0" w:space="0" w:color="auto"/>
                <w:left w:val="none" w:sz="0" w:space="0" w:color="auto"/>
                <w:bottom w:val="none" w:sz="0" w:space="0" w:color="auto"/>
                <w:right w:val="none" w:sz="0" w:space="0" w:color="auto"/>
              </w:divBdr>
            </w:div>
            <w:div w:id="19966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5026">
      <w:bodyDiv w:val="1"/>
      <w:marLeft w:val="0"/>
      <w:marRight w:val="0"/>
      <w:marTop w:val="0"/>
      <w:marBottom w:val="0"/>
      <w:divBdr>
        <w:top w:val="none" w:sz="0" w:space="0" w:color="auto"/>
        <w:left w:val="none" w:sz="0" w:space="0" w:color="auto"/>
        <w:bottom w:val="none" w:sz="0" w:space="0" w:color="auto"/>
        <w:right w:val="none" w:sz="0" w:space="0" w:color="auto"/>
      </w:divBdr>
      <w:divsChild>
        <w:div w:id="1461924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896996">
      <w:bodyDiv w:val="1"/>
      <w:marLeft w:val="-150"/>
      <w:marRight w:val="0"/>
      <w:marTop w:val="0"/>
      <w:marBottom w:val="0"/>
      <w:divBdr>
        <w:top w:val="none" w:sz="0" w:space="0" w:color="auto"/>
        <w:left w:val="none" w:sz="0" w:space="0" w:color="auto"/>
        <w:bottom w:val="none" w:sz="0" w:space="0" w:color="auto"/>
        <w:right w:val="none" w:sz="0" w:space="0" w:color="auto"/>
      </w:divBdr>
      <w:divsChild>
        <w:div w:id="1899248014">
          <w:marLeft w:val="0"/>
          <w:marRight w:val="0"/>
          <w:marTop w:val="0"/>
          <w:marBottom w:val="0"/>
          <w:divBdr>
            <w:top w:val="none" w:sz="0" w:space="0" w:color="auto"/>
            <w:left w:val="none" w:sz="0" w:space="0" w:color="auto"/>
            <w:bottom w:val="none" w:sz="0" w:space="0" w:color="auto"/>
            <w:right w:val="none" w:sz="0" w:space="0" w:color="auto"/>
          </w:divBdr>
        </w:div>
      </w:divsChild>
    </w:div>
    <w:div w:id="563680822">
      <w:bodyDiv w:val="1"/>
      <w:marLeft w:val="0"/>
      <w:marRight w:val="0"/>
      <w:marTop w:val="0"/>
      <w:marBottom w:val="0"/>
      <w:divBdr>
        <w:top w:val="none" w:sz="0" w:space="0" w:color="auto"/>
        <w:left w:val="none" w:sz="0" w:space="0" w:color="auto"/>
        <w:bottom w:val="none" w:sz="0" w:space="0" w:color="auto"/>
        <w:right w:val="none" w:sz="0" w:space="0" w:color="auto"/>
      </w:divBdr>
      <w:divsChild>
        <w:div w:id="1450664637">
          <w:marLeft w:val="0"/>
          <w:marRight w:val="0"/>
          <w:marTop w:val="0"/>
          <w:marBottom w:val="0"/>
          <w:divBdr>
            <w:top w:val="none" w:sz="0" w:space="0" w:color="auto"/>
            <w:left w:val="none" w:sz="0" w:space="0" w:color="auto"/>
            <w:bottom w:val="none" w:sz="0" w:space="0" w:color="auto"/>
            <w:right w:val="none" w:sz="0" w:space="0" w:color="auto"/>
          </w:divBdr>
          <w:divsChild>
            <w:div w:id="242758522">
              <w:marLeft w:val="0"/>
              <w:marRight w:val="0"/>
              <w:marTop w:val="0"/>
              <w:marBottom w:val="0"/>
              <w:divBdr>
                <w:top w:val="none" w:sz="0" w:space="0" w:color="auto"/>
                <w:left w:val="none" w:sz="0" w:space="0" w:color="auto"/>
                <w:bottom w:val="none" w:sz="0" w:space="0" w:color="auto"/>
                <w:right w:val="none" w:sz="0" w:space="0" w:color="auto"/>
              </w:divBdr>
            </w:div>
            <w:div w:id="1259755993">
              <w:marLeft w:val="0"/>
              <w:marRight w:val="0"/>
              <w:marTop w:val="0"/>
              <w:marBottom w:val="0"/>
              <w:divBdr>
                <w:top w:val="none" w:sz="0" w:space="0" w:color="auto"/>
                <w:left w:val="none" w:sz="0" w:space="0" w:color="auto"/>
                <w:bottom w:val="none" w:sz="0" w:space="0" w:color="auto"/>
                <w:right w:val="none" w:sz="0" w:space="0" w:color="auto"/>
              </w:divBdr>
            </w:div>
            <w:div w:id="1914124579">
              <w:marLeft w:val="0"/>
              <w:marRight w:val="0"/>
              <w:marTop w:val="0"/>
              <w:marBottom w:val="0"/>
              <w:divBdr>
                <w:top w:val="none" w:sz="0" w:space="0" w:color="auto"/>
                <w:left w:val="none" w:sz="0" w:space="0" w:color="auto"/>
                <w:bottom w:val="none" w:sz="0" w:space="0" w:color="auto"/>
                <w:right w:val="none" w:sz="0" w:space="0" w:color="auto"/>
              </w:divBdr>
            </w:div>
            <w:div w:id="19255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6114">
      <w:bodyDiv w:val="1"/>
      <w:marLeft w:val="0"/>
      <w:marRight w:val="0"/>
      <w:marTop w:val="0"/>
      <w:marBottom w:val="0"/>
      <w:divBdr>
        <w:top w:val="none" w:sz="0" w:space="0" w:color="auto"/>
        <w:left w:val="none" w:sz="0" w:space="0" w:color="auto"/>
        <w:bottom w:val="none" w:sz="0" w:space="0" w:color="auto"/>
        <w:right w:val="none" w:sz="0" w:space="0" w:color="auto"/>
      </w:divBdr>
      <w:divsChild>
        <w:div w:id="513499934">
          <w:marLeft w:val="0"/>
          <w:marRight w:val="0"/>
          <w:marTop w:val="0"/>
          <w:marBottom w:val="0"/>
          <w:divBdr>
            <w:top w:val="none" w:sz="0" w:space="0" w:color="auto"/>
            <w:left w:val="none" w:sz="0" w:space="0" w:color="auto"/>
            <w:bottom w:val="none" w:sz="0" w:space="0" w:color="auto"/>
            <w:right w:val="none" w:sz="0" w:space="0" w:color="auto"/>
          </w:divBdr>
          <w:divsChild>
            <w:div w:id="144510979">
              <w:marLeft w:val="0"/>
              <w:marRight w:val="0"/>
              <w:marTop w:val="0"/>
              <w:marBottom w:val="0"/>
              <w:divBdr>
                <w:top w:val="none" w:sz="0" w:space="0" w:color="auto"/>
                <w:left w:val="none" w:sz="0" w:space="0" w:color="auto"/>
                <w:bottom w:val="none" w:sz="0" w:space="0" w:color="auto"/>
                <w:right w:val="none" w:sz="0" w:space="0" w:color="auto"/>
              </w:divBdr>
            </w:div>
            <w:div w:id="260529007">
              <w:marLeft w:val="0"/>
              <w:marRight w:val="0"/>
              <w:marTop w:val="0"/>
              <w:marBottom w:val="0"/>
              <w:divBdr>
                <w:top w:val="none" w:sz="0" w:space="0" w:color="auto"/>
                <w:left w:val="none" w:sz="0" w:space="0" w:color="auto"/>
                <w:bottom w:val="none" w:sz="0" w:space="0" w:color="auto"/>
                <w:right w:val="none" w:sz="0" w:space="0" w:color="auto"/>
              </w:divBdr>
            </w:div>
            <w:div w:id="276497110">
              <w:marLeft w:val="0"/>
              <w:marRight w:val="0"/>
              <w:marTop w:val="0"/>
              <w:marBottom w:val="0"/>
              <w:divBdr>
                <w:top w:val="none" w:sz="0" w:space="0" w:color="auto"/>
                <w:left w:val="none" w:sz="0" w:space="0" w:color="auto"/>
                <w:bottom w:val="none" w:sz="0" w:space="0" w:color="auto"/>
                <w:right w:val="none" w:sz="0" w:space="0" w:color="auto"/>
              </w:divBdr>
            </w:div>
            <w:div w:id="326443721">
              <w:marLeft w:val="0"/>
              <w:marRight w:val="0"/>
              <w:marTop w:val="0"/>
              <w:marBottom w:val="0"/>
              <w:divBdr>
                <w:top w:val="none" w:sz="0" w:space="0" w:color="auto"/>
                <w:left w:val="none" w:sz="0" w:space="0" w:color="auto"/>
                <w:bottom w:val="none" w:sz="0" w:space="0" w:color="auto"/>
                <w:right w:val="none" w:sz="0" w:space="0" w:color="auto"/>
              </w:divBdr>
            </w:div>
            <w:div w:id="1058475800">
              <w:marLeft w:val="0"/>
              <w:marRight w:val="0"/>
              <w:marTop w:val="0"/>
              <w:marBottom w:val="0"/>
              <w:divBdr>
                <w:top w:val="none" w:sz="0" w:space="0" w:color="auto"/>
                <w:left w:val="none" w:sz="0" w:space="0" w:color="auto"/>
                <w:bottom w:val="none" w:sz="0" w:space="0" w:color="auto"/>
                <w:right w:val="none" w:sz="0" w:space="0" w:color="auto"/>
              </w:divBdr>
            </w:div>
            <w:div w:id="1269511442">
              <w:marLeft w:val="0"/>
              <w:marRight w:val="0"/>
              <w:marTop w:val="0"/>
              <w:marBottom w:val="0"/>
              <w:divBdr>
                <w:top w:val="none" w:sz="0" w:space="0" w:color="auto"/>
                <w:left w:val="none" w:sz="0" w:space="0" w:color="auto"/>
                <w:bottom w:val="none" w:sz="0" w:space="0" w:color="auto"/>
                <w:right w:val="none" w:sz="0" w:space="0" w:color="auto"/>
              </w:divBdr>
            </w:div>
            <w:div w:id="1315839438">
              <w:marLeft w:val="0"/>
              <w:marRight w:val="0"/>
              <w:marTop w:val="0"/>
              <w:marBottom w:val="0"/>
              <w:divBdr>
                <w:top w:val="none" w:sz="0" w:space="0" w:color="auto"/>
                <w:left w:val="none" w:sz="0" w:space="0" w:color="auto"/>
                <w:bottom w:val="none" w:sz="0" w:space="0" w:color="auto"/>
                <w:right w:val="none" w:sz="0" w:space="0" w:color="auto"/>
              </w:divBdr>
            </w:div>
            <w:div w:id="1453087659">
              <w:marLeft w:val="0"/>
              <w:marRight w:val="0"/>
              <w:marTop w:val="0"/>
              <w:marBottom w:val="0"/>
              <w:divBdr>
                <w:top w:val="none" w:sz="0" w:space="0" w:color="auto"/>
                <w:left w:val="none" w:sz="0" w:space="0" w:color="auto"/>
                <w:bottom w:val="none" w:sz="0" w:space="0" w:color="auto"/>
                <w:right w:val="none" w:sz="0" w:space="0" w:color="auto"/>
              </w:divBdr>
            </w:div>
            <w:div w:id="1714960790">
              <w:marLeft w:val="0"/>
              <w:marRight w:val="0"/>
              <w:marTop w:val="0"/>
              <w:marBottom w:val="0"/>
              <w:divBdr>
                <w:top w:val="none" w:sz="0" w:space="0" w:color="auto"/>
                <w:left w:val="none" w:sz="0" w:space="0" w:color="auto"/>
                <w:bottom w:val="none" w:sz="0" w:space="0" w:color="auto"/>
                <w:right w:val="none" w:sz="0" w:space="0" w:color="auto"/>
              </w:divBdr>
            </w:div>
            <w:div w:id="1846900131">
              <w:marLeft w:val="0"/>
              <w:marRight w:val="0"/>
              <w:marTop w:val="0"/>
              <w:marBottom w:val="0"/>
              <w:divBdr>
                <w:top w:val="none" w:sz="0" w:space="0" w:color="auto"/>
                <w:left w:val="none" w:sz="0" w:space="0" w:color="auto"/>
                <w:bottom w:val="none" w:sz="0" w:space="0" w:color="auto"/>
                <w:right w:val="none" w:sz="0" w:space="0" w:color="auto"/>
              </w:divBdr>
            </w:div>
            <w:div w:id="19769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7239">
      <w:bodyDiv w:val="1"/>
      <w:marLeft w:val="0"/>
      <w:marRight w:val="0"/>
      <w:marTop w:val="0"/>
      <w:marBottom w:val="0"/>
      <w:divBdr>
        <w:top w:val="none" w:sz="0" w:space="0" w:color="auto"/>
        <w:left w:val="none" w:sz="0" w:space="0" w:color="auto"/>
        <w:bottom w:val="none" w:sz="0" w:space="0" w:color="auto"/>
        <w:right w:val="none" w:sz="0" w:space="0" w:color="auto"/>
      </w:divBdr>
      <w:divsChild>
        <w:div w:id="363598046">
          <w:marLeft w:val="0"/>
          <w:marRight w:val="0"/>
          <w:marTop w:val="0"/>
          <w:marBottom w:val="0"/>
          <w:divBdr>
            <w:top w:val="none" w:sz="0" w:space="0" w:color="auto"/>
            <w:left w:val="none" w:sz="0" w:space="0" w:color="auto"/>
            <w:bottom w:val="none" w:sz="0" w:space="0" w:color="auto"/>
            <w:right w:val="none" w:sz="0" w:space="0" w:color="auto"/>
          </w:divBdr>
          <w:divsChild>
            <w:div w:id="225187366">
              <w:marLeft w:val="0"/>
              <w:marRight w:val="0"/>
              <w:marTop w:val="0"/>
              <w:marBottom w:val="0"/>
              <w:divBdr>
                <w:top w:val="none" w:sz="0" w:space="0" w:color="auto"/>
                <w:left w:val="none" w:sz="0" w:space="0" w:color="auto"/>
                <w:bottom w:val="none" w:sz="0" w:space="0" w:color="auto"/>
                <w:right w:val="none" w:sz="0" w:space="0" w:color="auto"/>
              </w:divBdr>
            </w:div>
            <w:div w:id="421686320">
              <w:marLeft w:val="0"/>
              <w:marRight w:val="0"/>
              <w:marTop w:val="0"/>
              <w:marBottom w:val="0"/>
              <w:divBdr>
                <w:top w:val="none" w:sz="0" w:space="0" w:color="auto"/>
                <w:left w:val="none" w:sz="0" w:space="0" w:color="auto"/>
                <w:bottom w:val="none" w:sz="0" w:space="0" w:color="auto"/>
                <w:right w:val="none" w:sz="0" w:space="0" w:color="auto"/>
              </w:divBdr>
            </w:div>
            <w:div w:id="430396261">
              <w:marLeft w:val="0"/>
              <w:marRight w:val="0"/>
              <w:marTop w:val="0"/>
              <w:marBottom w:val="0"/>
              <w:divBdr>
                <w:top w:val="none" w:sz="0" w:space="0" w:color="auto"/>
                <w:left w:val="none" w:sz="0" w:space="0" w:color="auto"/>
                <w:bottom w:val="none" w:sz="0" w:space="0" w:color="auto"/>
                <w:right w:val="none" w:sz="0" w:space="0" w:color="auto"/>
              </w:divBdr>
            </w:div>
            <w:div w:id="505555039">
              <w:marLeft w:val="0"/>
              <w:marRight w:val="0"/>
              <w:marTop w:val="0"/>
              <w:marBottom w:val="0"/>
              <w:divBdr>
                <w:top w:val="none" w:sz="0" w:space="0" w:color="auto"/>
                <w:left w:val="none" w:sz="0" w:space="0" w:color="auto"/>
                <w:bottom w:val="none" w:sz="0" w:space="0" w:color="auto"/>
                <w:right w:val="none" w:sz="0" w:space="0" w:color="auto"/>
              </w:divBdr>
            </w:div>
            <w:div w:id="779953472">
              <w:marLeft w:val="0"/>
              <w:marRight w:val="0"/>
              <w:marTop w:val="0"/>
              <w:marBottom w:val="0"/>
              <w:divBdr>
                <w:top w:val="none" w:sz="0" w:space="0" w:color="auto"/>
                <w:left w:val="none" w:sz="0" w:space="0" w:color="auto"/>
                <w:bottom w:val="none" w:sz="0" w:space="0" w:color="auto"/>
                <w:right w:val="none" w:sz="0" w:space="0" w:color="auto"/>
              </w:divBdr>
            </w:div>
            <w:div w:id="1030450920">
              <w:marLeft w:val="0"/>
              <w:marRight w:val="0"/>
              <w:marTop w:val="0"/>
              <w:marBottom w:val="0"/>
              <w:divBdr>
                <w:top w:val="none" w:sz="0" w:space="0" w:color="auto"/>
                <w:left w:val="none" w:sz="0" w:space="0" w:color="auto"/>
                <w:bottom w:val="none" w:sz="0" w:space="0" w:color="auto"/>
                <w:right w:val="none" w:sz="0" w:space="0" w:color="auto"/>
              </w:divBdr>
            </w:div>
            <w:div w:id="1220285894">
              <w:marLeft w:val="0"/>
              <w:marRight w:val="0"/>
              <w:marTop w:val="0"/>
              <w:marBottom w:val="0"/>
              <w:divBdr>
                <w:top w:val="none" w:sz="0" w:space="0" w:color="auto"/>
                <w:left w:val="none" w:sz="0" w:space="0" w:color="auto"/>
                <w:bottom w:val="none" w:sz="0" w:space="0" w:color="auto"/>
                <w:right w:val="none" w:sz="0" w:space="0" w:color="auto"/>
              </w:divBdr>
            </w:div>
            <w:div w:id="1229194661">
              <w:marLeft w:val="0"/>
              <w:marRight w:val="0"/>
              <w:marTop w:val="0"/>
              <w:marBottom w:val="0"/>
              <w:divBdr>
                <w:top w:val="none" w:sz="0" w:space="0" w:color="auto"/>
                <w:left w:val="none" w:sz="0" w:space="0" w:color="auto"/>
                <w:bottom w:val="none" w:sz="0" w:space="0" w:color="auto"/>
                <w:right w:val="none" w:sz="0" w:space="0" w:color="auto"/>
              </w:divBdr>
            </w:div>
            <w:div w:id="1326319467">
              <w:marLeft w:val="0"/>
              <w:marRight w:val="0"/>
              <w:marTop w:val="0"/>
              <w:marBottom w:val="0"/>
              <w:divBdr>
                <w:top w:val="none" w:sz="0" w:space="0" w:color="auto"/>
                <w:left w:val="none" w:sz="0" w:space="0" w:color="auto"/>
                <w:bottom w:val="none" w:sz="0" w:space="0" w:color="auto"/>
                <w:right w:val="none" w:sz="0" w:space="0" w:color="auto"/>
              </w:divBdr>
            </w:div>
            <w:div w:id="14805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9794">
      <w:bodyDiv w:val="1"/>
      <w:marLeft w:val="0"/>
      <w:marRight w:val="0"/>
      <w:marTop w:val="0"/>
      <w:marBottom w:val="0"/>
      <w:divBdr>
        <w:top w:val="none" w:sz="0" w:space="0" w:color="auto"/>
        <w:left w:val="none" w:sz="0" w:space="0" w:color="auto"/>
        <w:bottom w:val="none" w:sz="0" w:space="0" w:color="auto"/>
        <w:right w:val="none" w:sz="0" w:space="0" w:color="auto"/>
      </w:divBdr>
      <w:divsChild>
        <w:div w:id="1911573804">
          <w:marLeft w:val="0"/>
          <w:marRight w:val="0"/>
          <w:marTop w:val="0"/>
          <w:marBottom w:val="0"/>
          <w:divBdr>
            <w:top w:val="none" w:sz="0" w:space="0" w:color="auto"/>
            <w:left w:val="none" w:sz="0" w:space="0" w:color="auto"/>
            <w:bottom w:val="none" w:sz="0" w:space="0" w:color="auto"/>
            <w:right w:val="none" w:sz="0" w:space="0" w:color="auto"/>
          </w:divBdr>
          <w:divsChild>
            <w:div w:id="605382078">
              <w:marLeft w:val="0"/>
              <w:marRight w:val="0"/>
              <w:marTop w:val="0"/>
              <w:marBottom w:val="0"/>
              <w:divBdr>
                <w:top w:val="none" w:sz="0" w:space="0" w:color="auto"/>
                <w:left w:val="none" w:sz="0" w:space="0" w:color="auto"/>
                <w:bottom w:val="none" w:sz="0" w:space="0" w:color="auto"/>
                <w:right w:val="none" w:sz="0" w:space="0" w:color="auto"/>
              </w:divBdr>
            </w:div>
            <w:div w:id="1124345537">
              <w:marLeft w:val="0"/>
              <w:marRight w:val="0"/>
              <w:marTop w:val="0"/>
              <w:marBottom w:val="0"/>
              <w:divBdr>
                <w:top w:val="none" w:sz="0" w:space="0" w:color="auto"/>
                <w:left w:val="none" w:sz="0" w:space="0" w:color="auto"/>
                <w:bottom w:val="none" w:sz="0" w:space="0" w:color="auto"/>
                <w:right w:val="none" w:sz="0" w:space="0" w:color="auto"/>
              </w:divBdr>
            </w:div>
            <w:div w:id="1148012932">
              <w:marLeft w:val="0"/>
              <w:marRight w:val="0"/>
              <w:marTop w:val="0"/>
              <w:marBottom w:val="0"/>
              <w:divBdr>
                <w:top w:val="none" w:sz="0" w:space="0" w:color="auto"/>
                <w:left w:val="none" w:sz="0" w:space="0" w:color="auto"/>
                <w:bottom w:val="none" w:sz="0" w:space="0" w:color="auto"/>
                <w:right w:val="none" w:sz="0" w:space="0" w:color="auto"/>
              </w:divBdr>
            </w:div>
            <w:div w:id="1273242352">
              <w:marLeft w:val="0"/>
              <w:marRight w:val="0"/>
              <w:marTop w:val="0"/>
              <w:marBottom w:val="0"/>
              <w:divBdr>
                <w:top w:val="none" w:sz="0" w:space="0" w:color="auto"/>
                <w:left w:val="none" w:sz="0" w:space="0" w:color="auto"/>
                <w:bottom w:val="none" w:sz="0" w:space="0" w:color="auto"/>
                <w:right w:val="none" w:sz="0" w:space="0" w:color="auto"/>
              </w:divBdr>
            </w:div>
            <w:div w:id="1515725287">
              <w:marLeft w:val="0"/>
              <w:marRight w:val="0"/>
              <w:marTop w:val="0"/>
              <w:marBottom w:val="0"/>
              <w:divBdr>
                <w:top w:val="none" w:sz="0" w:space="0" w:color="auto"/>
                <w:left w:val="none" w:sz="0" w:space="0" w:color="auto"/>
                <w:bottom w:val="none" w:sz="0" w:space="0" w:color="auto"/>
                <w:right w:val="none" w:sz="0" w:space="0" w:color="auto"/>
              </w:divBdr>
            </w:div>
            <w:div w:id="18611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8008">
      <w:bodyDiv w:val="1"/>
      <w:marLeft w:val="0"/>
      <w:marRight w:val="0"/>
      <w:marTop w:val="0"/>
      <w:marBottom w:val="0"/>
      <w:divBdr>
        <w:top w:val="none" w:sz="0" w:space="0" w:color="auto"/>
        <w:left w:val="none" w:sz="0" w:space="0" w:color="auto"/>
        <w:bottom w:val="none" w:sz="0" w:space="0" w:color="auto"/>
        <w:right w:val="none" w:sz="0" w:space="0" w:color="auto"/>
      </w:divBdr>
      <w:divsChild>
        <w:div w:id="959921587">
          <w:marLeft w:val="0"/>
          <w:marRight w:val="0"/>
          <w:marTop w:val="0"/>
          <w:marBottom w:val="0"/>
          <w:divBdr>
            <w:top w:val="none" w:sz="0" w:space="0" w:color="auto"/>
            <w:left w:val="none" w:sz="0" w:space="0" w:color="auto"/>
            <w:bottom w:val="none" w:sz="0" w:space="0" w:color="auto"/>
            <w:right w:val="none" w:sz="0" w:space="0" w:color="auto"/>
          </w:divBdr>
          <w:divsChild>
            <w:div w:id="935820730">
              <w:marLeft w:val="0"/>
              <w:marRight w:val="0"/>
              <w:marTop w:val="0"/>
              <w:marBottom w:val="0"/>
              <w:divBdr>
                <w:top w:val="none" w:sz="0" w:space="0" w:color="auto"/>
                <w:left w:val="none" w:sz="0" w:space="0" w:color="auto"/>
                <w:bottom w:val="none" w:sz="0" w:space="0" w:color="auto"/>
                <w:right w:val="none" w:sz="0" w:space="0" w:color="auto"/>
              </w:divBdr>
            </w:div>
            <w:div w:id="1685940429">
              <w:marLeft w:val="0"/>
              <w:marRight w:val="0"/>
              <w:marTop w:val="0"/>
              <w:marBottom w:val="0"/>
              <w:divBdr>
                <w:top w:val="none" w:sz="0" w:space="0" w:color="auto"/>
                <w:left w:val="none" w:sz="0" w:space="0" w:color="auto"/>
                <w:bottom w:val="none" w:sz="0" w:space="0" w:color="auto"/>
                <w:right w:val="none" w:sz="0" w:space="0" w:color="auto"/>
              </w:divBdr>
            </w:div>
            <w:div w:id="19938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2738">
      <w:bodyDiv w:val="1"/>
      <w:marLeft w:val="0"/>
      <w:marRight w:val="0"/>
      <w:marTop w:val="0"/>
      <w:marBottom w:val="0"/>
      <w:divBdr>
        <w:top w:val="none" w:sz="0" w:space="0" w:color="auto"/>
        <w:left w:val="none" w:sz="0" w:space="0" w:color="auto"/>
        <w:bottom w:val="none" w:sz="0" w:space="0" w:color="auto"/>
        <w:right w:val="none" w:sz="0" w:space="0" w:color="auto"/>
      </w:divBdr>
      <w:divsChild>
        <w:div w:id="93667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688957">
      <w:bodyDiv w:val="1"/>
      <w:marLeft w:val="0"/>
      <w:marRight w:val="0"/>
      <w:marTop w:val="0"/>
      <w:marBottom w:val="0"/>
      <w:divBdr>
        <w:top w:val="none" w:sz="0" w:space="0" w:color="auto"/>
        <w:left w:val="none" w:sz="0" w:space="0" w:color="auto"/>
        <w:bottom w:val="none" w:sz="0" w:space="0" w:color="auto"/>
        <w:right w:val="none" w:sz="0" w:space="0" w:color="auto"/>
      </w:divBdr>
      <w:divsChild>
        <w:div w:id="862745632">
          <w:marLeft w:val="0"/>
          <w:marRight w:val="0"/>
          <w:marTop w:val="0"/>
          <w:marBottom w:val="0"/>
          <w:divBdr>
            <w:top w:val="none" w:sz="0" w:space="0" w:color="auto"/>
            <w:left w:val="none" w:sz="0" w:space="0" w:color="auto"/>
            <w:bottom w:val="none" w:sz="0" w:space="0" w:color="auto"/>
            <w:right w:val="none" w:sz="0" w:space="0" w:color="auto"/>
          </w:divBdr>
          <w:divsChild>
            <w:div w:id="421679509">
              <w:marLeft w:val="0"/>
              <w:marRight w:val="0"/>
              <w:marTop w:val="0"/>
              <w:marBottom w:val="0"/>
              <w:divBdr>
                <w:top w:val="none" w:sz="0" w:space="0" w:color="auto"/>
                <w:left w:val="none" w:sz="0" w:space="0" w:color="auto"/>
                <w:bottom w:val="none" w:sz="0" w:space="0" w:color="auto"/>
                <w:right w:val="none" w:sz="0" w:space="0" w:color="auto"/>
              </w:divBdr>
            </w:div>
            <w:div w:id="1027827747">
              <w:marLeft w:val="0"/>
              <w:marRight w:val="0"/>
              <w:marTop w:val="0"/>
              <w:marBottom w:val="0"/>
              <w:divBdr>
                <w:top w:val="none" w:sz="0" w:space="0" w:color="auto"/>
                <w:left w:val="none" w:sz="0" w:space="0" w:color="auto"/>
                <w:bottom w:val="none" w:sz="0" w:space="0" w:color="auto"/>
                <w:right w:val="none" w:sz="0" w:space="0" w:color="auto"/>
              </w:divBdr>
            </w:div>
            <w:div w:id="1533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6506">
      <w:bodyDiv w:val="1"/>
      <w:marLeft w:val="0"/>
      <w:marRight w:val="0"/>
      <w:marTop w:val="0"/>
      <w:marBottom w:val="0"/>
      <w:divBdr>
        <w:top w:val="none" w:sz="0" w:space="0" w:color="auto"/>
        <w:left w:val="none" w:sz="0" w:space="0" w:color="auto"/>
        <w:bottom w:val="none" w:sz="0" w:space="0" w:color="auto"/>
        <w:right w:val="none" w:sz="0" w:space="0" w:color="auto"/>
      </w:divBdr>
    </w:div>
    <w:div w:id="752238518">
      <w:bodyDiv w:val="1"/>
      <w:marLeft w:val="0"/>
      <w:marRight w:val="0"/>
      <w:marTop w:val="0"/>
      <w:marBottom w:val="0"/>
      <w:divBdr>
        <w:top w:val="none" w:sz="0" w:space="0" w:color="auto"/>
        <w:left w:val="none" w:sz="0" w:space="0" w:color="auto"/>
        <w:bottom w:val="none" w:sz="0" w:space="0" w:color="auto"/>
        <w:right w:val="none" w:sz="0" w:space="0" w:color="auto"/>
      </w:divBdr>
      <w:divsChild>
        <w:div w:id="780806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943334">
      <w:bodyDiv w:val="1"/>
      <w:marLeft w:val="0"/>
      <w:marRight w:val="0"/>
      <w:marTop w:val="0"/>
      <w:marBottom w:val="0"/>
      <w:divBdr>
        <w:top w:val="none" w:sz="0" w:space="0" w:color="auto"/>
        <w:left w:val="none" w:sz="0" w:space="0" w:color="auto"/>
        <w:bottom w:val="none" w:sz="0" w:space="0" w:color="auto"/>
        <w:right w:val="none" w:sz="0" w:space="0" w:color="auto"/>
      </w:divBdr>
      <w:divsChild>
        <w:div w:id="279652860">
          <w:marLeft w:val="0"/>
          <w:marRight w:val="0"/>
          <w:marTop w:val="0"/>
          <w:marBottom w:val="0"/>
          <w:divBdr>
            <w:top w:val="none" w:sz="0" w:space="0" w:color="auto"/>
            <w:left w:val="none" w:sz="0" w:space="0" w:color="auto"/>
            <w:bottom w:val="none" w:sz="0" w:space="0" w:color="auto"/>
            <w:right w:val="none" w:sz="0" w:space="0" w:color="auto"/>
          </w:divBdr>
          <w:divsChild>
            <w:div w:id="69163534">
              <w:marLeft w:val="0"/>
              <w:marRight w:val="0"/>
              <w:marTop w:val="0"/>
              <w:marBottom w:val="0"/>
              <w:divBdr>
                <w:top w:val="none" w:sz="0" w:space="0" w:color="auto"/>
                <w:left w:val="none" w:sz="0" w:space="0" w:color="auto"/>
                <w:bottom w:val="none" w:sz="0" w:space="0" w:color="auto"/>
                <w:right w:val="none" w:sz="0" w:space="0" w:color="auto"/>
              </w:divBdr>
            </w:div>
            <w:div w:id="656418468">
              <w:marLeft w:val="0"/>
              <w:marRight w:val="0"/>
              <w:marTop w:val="0"/>
              <w:marBottom w:val="0"/>
              <w:divBdr>
                <w:top w:val="none" w:sz="0" w:space="0" w:color="auto"/>
                <w:left w:val="none" w:sz="0" w:space="0" w:color="auto"/>
                <w:bottom w:val="none" w:sz="0" w:space="0" w:color="auto"/>
                <w:right w:val="none" w:sz="0" w:space="0" w:color="auto"/>
              </w:divBdr>
            </w:div>
            <w:div w:id="976372283">
              <w:marLeft w:val="0"/>
              <w:marRight w:val="0"/>
              <w:marTop w:val="0"/>
              <w:marBottom w:val="0"/>
              <w:divBdr>
                <w:top w:val="none" w:sz="0" w:space="0" w:color="auto"/>
                <w:left w:val="none" w:sz="0" w:space="0" w:color="auto"/>
                <w:bottom w:val="none" w:sz="0" w:space="0" w:color="auto"/>
                <w:right w:val="none" w:sz="0" w:space="0" w:color="auto"/>
              </w:divBdr>
            </w:div>
            <w:div w:id="1213226772">
              <w:marLeft w:val="0"/>
              <w:marRight w:val="0"/>
              <w:marTop w:val="0"/>
              <w:marBottom w:val="0"/>
              <w:divBdr>
                <w:top w:val="none" w:sz="0" w:space="0" w:color="auto"/>
                <w:left w:val="none" w:sz="0" w:space="0" w:color="auto"/>
                <w:bottom w:val="none" w:sz="0" w:space="0" w:color="auto"/>
                <w:right w:val="none" w:sz="0" w:space="0" w:color="auto"/>
              </w:divBdr>
            </w:div>
            <w:div w:id="1377894949">
              <w:marLeft w:val="0"/>
              <w:marRight w:val="0"/>
              <w:marTop w:val="0"/>
              <w:marBottom w:val="0"/>
              <w:divBdr>
                <w:top w:val="none" w:sz="0" w:space="0" w:color="auto"/>
                <w:left w:val="none" w:sz="0" w:space="0" w:color="auto"/>
                <w:bottom w:val="none" w:sz="0" w:space="0" w:color="auto"/>
                <w:right w:val="none" w:sz="0" w:space="0" w:color="auto"/>
              </w:divBdr>
            </w:div>
            <w:div w:id="1524172979">
              <w:marLeft w:val="0"/>
              <w:marRight w:val="0"/>
              <w:marTop w:val="0"/>
              <w:marBottom w:val="0"/>
              <w:divBdr>
                <w:top w:val="none" w:sz="0" w:space="0" w:color="auto"/>
                <w:left w:val="none" w:sz="0" w:space="0" w:color="auto"/>
                <w:bottom w:val="none" w:sz="0" w:space="0" w:color="auto"/>
                <w:right w:val="none" w:sz="0" w:space="0" w:color="auto"/>
              </w:divBdr>
            </w:div>
            <w:div w:id="1541472745">
              <w:marLeft w:val="0"/>
              <w:marRight w:val="0"/>
              <w:marTop w:val="0"/>
              <w:marBottom w:val="0"/>
              <w:divBdr>
                <w:top w:val="none" w:sz="0" w:space="0" w:color="auto"/>
                <w:left w:val="none" w:sz="0" w:space="0" w:color="auto"/>
                <w:bottom w:val="none" w:sz="0" w:space="0" w:color="auto"/>
                <w:right w:val="none" w:sz="0" w:space="0" w:color="auto"/>
              </w:divBdr>
            </w:div>
            <w:div w:id="21301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91407">
      <w:bodyDiv w:val="1"/>
      <w:marLeft w:val="0"/>
      <w:marRight w:val="0"/>
      <w:marTop w:val="0"/>
      <w:marBottom w:val="0"/>
      <w:divBdr>
        <w:top w:val="none" w:sz="0" w:space="0" w:color="auto"/>
        <w:left w:val="none" w:sz="0" w:space="0" w:color="auto"/>
        <w:bottom w:val="none" w:sz="0" w:space="0" w:color="auto"/>
        <w:right w:val="none" w:sz="0" w:space="0" w:color="auto"/>
      </w:divBdr>
      <w:divsChild>
        <w:div w:id="119769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6898759">
      <w:bodyDiv w:val="1"/>
      <w:marLeft w:val="0"/>
      <w:marRight w:val="0"/>
      <w:marTop w:val="0"/>
      <w:marBottom w:val="0"/>
      <w:divBdr>
        <w:top w:val="none" w:sz="0" w:space="0" w:color="auto"/>
        <w:left w:val="none" w:sz="0" w:space="0" w:color="auto"/>
        <w:bottom w:val="none" w:sz="0" w:space="0" w:color="auto"/>
        <w:right w:val="none" w:sz="0" w:space="0" w:color="auto"/>
      </w:divBdr>
      <w:divsChild>
        <w:div w:id="1666737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852811">
      <w:bodyDiv w:val="1"/>
      <w:marLeft w:val="0"/>
      <w:marRight w:val="0"/>
      <w:marTop w:val="0"/>
      <w:marBottom w:val="0"/>
      <w:divBdr>
        <w:top w:val="none" w:sz="0" w:space="0" w:color="auto"/>
        <w:left w:val="none" w:sz="0" w:space="0" w:color="auto"/>
        <w:bottom w:val="none" w:sz="0" w:space="0" w:color="auto"/>
        <w:right w:val="none" w:sz="0" w:space="0" w:color="auto"/>
      </w:divBdr>
      <w:divsChild>
        <w:div w:id="1344747855">
          <w:marLeft w:val="0"/>
          <w:marRight w:val="0"/>
          <w:marTop w:val="0"/>
          <w:marBottom w:val="0"/>
          <w:divBdr>
            <w:top w:val="none" w:sz="0" w:space="0" w:color="auto"/>
            <w:left w:val="none" w:sz="0" w:space="0" w:color="auto"/>
            <w:bottom w:val="none" w:sz="0" w:space="0" w:color="auto"/>
            <w:right w:val="none" w:sz="0" w:space="0" w:color="auto"/>
          </w:divBdr>
          <w:divsChild>
            <w:div w:id="380131022">
              <w:marLeft w:val="0"/>
              <w:marRight w:val="0"/>
              <w:marTop w:val="0"/>
              <w:marBottom w:val="0"/>
              <w:divBdr>
                <w:top w:val="none" w:sz="0" w:space="0" w:color="auto"/>
                <w:left w:val="none" w:sz="0" w:space="0" w:color="auto"/>
                <w:bottom w:val="none" w:sz="0" w:space="0" w:color="auto"/>
                <w:right w:val="none" w:sz="0" w:space="0" w:color="auto"/>
              </w:divBdr>
            </w:div>
            <w:div w:id="774252750">
              <w:marLeft w:val="0"/>
              <w:marRight w:val="0"/>
              <w:marTop w:val="0"/>
              <w:marBottom w:val="0"/>
              <w:divBdr>
                <w:top w:val="none" w:sz="0" w:space="0" w:color="auto"/>
                <w:left w:val="none" w:sz="0" w:space="0" w:color="auto"/>
                <w:bottom w:val="none" w:sz="0" w:space="0" w:color="auto"/>
                <w:right w:val="none" w:sz="0" w:space="0" w:color="auto"/>
              </w:divBdr>
            </w:div>
            <w:div w:id="17901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4626">
      <w:bodyDiv w:val="1"/>
      <w:marLeft w:val="0"/>
      <w:marRight w:val="0"/>
      <w:marTop w:val="0"/>
      <w:marBottom w:val="0"/>
      <w:divBdr>
        <w:top w:val="none" w:sz="0" w:space="0" w:color="auto"/>
        <w:left w:val="none" w:sz="0" w:space="0" w:color="auto"/>
        <w:bottom w:val="none" w:sz="0" w:space="0" w:color="auto"/>
        <w:right w:val="none" w:sz="0" w:space="0" w:color="auto"/>
      </w:divBdr>
      <w:divsChild>
        <w:div w:id="690109829">
          <w:marLeft w:val="0"/>
          <w:marRight w:val="0"/>
          <w:marTop w:val="0"/>
          <w:marBottom w:val="0"/>
          <w:divBdr>
            <w:top w:val="none" w:sz="0" w:space="0" w:color="auto"/>
            <w:left w:val="none" w:sz="0" w:space="0" w:color="auto"/>
            <w:bottom w:val="none" w:sz="0" w:space="0" w:color="auto"/>
            <w:right w:val="none" w:sz="0" w:space="0" w:color="auto"/>
          </w:divBdr>
          <w:divsChild>
            <w:div w:id="82344028">
              <w:marLeft w:val="0"/>
              <w:marRight w:val="0"/>
              <w:marTop w:val="0"/>
              <w:marBottom w:val="0"/>
              <w:divBdr>
                <w:top w:val="none" w:sz="0" w:space="0" w:color="auto"/>
                <w:left w:val="none" w:sz="0" w:space="0" w:color="auto"/>
                <w:bottom w:val="none" w:sz="0" w:space="0" w:color="auto"/>
                <w:right w:val="none" w:sz="0" w:space="0" w:color="auto"/>
              </w:divBdr>
            </w:div>
            <w:div w:id="290868167">
              <w:marLeft w:val="0"/>
              <w:marRight w:val="0"/>
              <w:marTop w:val="0"/>
              <w:marBottom w:val="0"/>
              <w:divBdr>
                <w:top w:val="none" w:sz="0" w:space="0" w:color="auto"/>
                <w:left w:val="none" w:sz="0" w:space="0" w:color="auto"/>
                <w:bottom w:val="none" w:sz="0" w:space="0" w:color="auto"/>
                <w:right w:val="none" w:sz="0" w:space="0" w:color="auto"/>
              </w:divBdr>
            </w:div>
            <w:div w:id="341860437">
              <w:marLeft w:val="0"/>
              <w:marRight w:val="0"/>
              <w:marTop w:val="0"/>
              <w:marBottom w:val="0"/>
              <w:divBdr>
                <w:top w:val="none" w:sz="0" w:space="0" w:color="auto"/>
                <w:left w:val="none" w:sz="0" w:space="0" w:color="auto"/>
                <w:bottom w:val="none" w:sz="0" w:space="0" w:color="auto"/>
                <w:right w:val="none" w:sz="0" w:space="0" w:color="auto"/>
              </w:divBdr>
            </w:div>
            <w:div w:id="569998851">
              <w:marLeft w:val="0"/>
              <w:marRight w:val="0"/>
              <w:marTop w:val="0"/>
              <w:marBottom w:val="0"/>
              <w:divBdr>
                <w:top w:val="none" w:sz="0" w:space="0" w:color="auto"/>
                <w:left w:val="none" w:sz="0" w:space="0" w:color="auto"/>
                <w:bottom w:val="none" w:sz="0" w:space="0" w:color="auto"/>
                <w:right w:val="none" w:sz="0" w:space="0" w:color="auto"/>
              </w:divBdr>
            </w:div>
            <w:div w:id="844587144">
              <w:marLeft w:val="0"/>
              <w:marRight w:val="0"/>
              <w:marTop w:val="0"/>
              <w:marBottom w:val="0"/>
              <w:divBdr>
                <w:top w:val="none" w:sz="0" w:space="0" w:color="auto"/>
                <w:left w:val="none" w:sz="0" w:space="0" w:color="auto"/>
                <w:bottom w:val="none" w:sz="0" w:space="0" w:color="auto"/>
                <w:right w:val="none" w:sz="0" w:space="0" w:color="auto"/>
              </w:divBdr>
            </w:div>
            <w:div w:id="1032000567">
              <w:marLeft w:val="0"/>
              <w:marRight w:val="0"/>
              <w:marTop w:val="0"/>
              <w:marBottom w:val="0"/>
              <w:divBdr>
                <w:top w:val="none" w:sz="0" w:space="0" w:color="auto"/>
                <w:left w:val="none" w:sz="0" w:space="0" w:color="auto"/>
                <w:bottom w:val="none" w:sz="0" w:space="0" w:color="auto"/>
                <w:right w:val="none" w:sz="0" w:space="0" w:color="auto"/>
              </w:divBdr>
            </w:div>
            <w:div w:id="1826161431">
              <w:marLeft w:val="0"/>
              <w:marRight w:val="0"/>
              <w:marTop w:val="0"/>
              <w:marBottom w:val="0"/>
              <w:divBdr>
                <w:top w:val="none" w:sz="0" w:space="0" w:color="auto"/>
                <w:left w:val="none" w:sz="0" w:space="0" w:color="auto"/>
                <w:bottom w:val="none" w:sz="0" w:space="0" w:color="auto"/>
                <w:right w:val="none" w:sz="0" w:space="0" w:color="auto"/>
              </w:divBdr>
            </w:div>
            <w:div w:id="1892694878">
              <w:marLeft w:val="0"/>
              <w:marRight w:val="0"/>
              <w:marTop w:val="0"/>
              <w:marBottom w:val="0"/>
              <w:divBdr>
                <w:top w:val="none" w:sz="0" w:space="0" w:color="auto"/>
                <w:left w:val="none" w:sz="0" w:space="0" w:color="auto"/>
                <w:bottom w:val="none" w:sz="0" w:space="0" w:color="auto"/>
                <w:right w:val="none" w:sz="0" w:space="0" w:color="auto"/>
              </w:divBdr>
            </w:div>
            <w:div w:id="20351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108">
      <w:bodyDiv w:val="1"/>
      <w:marLeft w:val="0"/>
      <w:marRight w:val="0"/>
      <w:marTop w:val="0"/>
      <w:marBottom w:val="0"/>
      <w:divBdr>
        <w:top w:val="none" w:sz="0" w:space="0" w:color="auto"/>
        <w:left w:val="none" w:sz="0" w:space="0" w:color="auto"/>
        <w:bottom w:val="none" w:sz="0" w:space="0" w:color="auto"/>
        <w:right w:val="none" w:sz="0" w:space="0" w:color="auto"/>
      </w:divBdr>
      <w:divsChild>
        <w:div w:id="1584294140">
          <w:marLeft w:val="0"/>
          <w:marRight w:val="0"/>
          <w:marTop w:val="0"/>
          <w:marBottom w:val="0"/>
          <w:divBdr>
            <w:top w:val="none" w:sz="0" w:space="0" w:color="auto"/>
            <w:left w:val="none" w:sz="0" w:space="0" w:color="auto"/>
            <w:bottom w:val="none" w:sz="0" w:space="0" w:color="auto"/>
            <w:right w:val="none" w:sz="0" w:space="0" w:color="auto"/>
          </w:divBdr>
          <w:divsChild>
            <w:div w:id="217863679">
              <w:marLeft w:val="0"/>
              <w:marRight w:val="0"/>
              <w:marTop w:val="0"/>
              <w:marBottom w:val="0"/>
              <w:divBdr>
                <w:top w:val="none" w:sz="0" w:space="0" w:color="auto"/>
                <w:left w:val="none" w:sz="0" w:space="0" w:color="auto"/>
                <w:bottom w:val="none" w:sz="0" w:space="0" w:color="auto"/>
                <w:right w:val="none" w:sz="0" w:space="0" w:color="auto"/>
              </w:divBdr>
            </w:div>
            <w:div w:id="842817185">
              <w:marLeft w:val="0"/>
              <w:marRight w:val="0"/>
              <w:marTop w:val="0"/>
              <w:marBottom w:val="0"/>
              <w:divBdr>
                <w:top w:val="none" w:sz="0" w:space="0" w:color="auto"/>
                <w:left w:val="none" w:sz="0" w:space="0" w:color="auto"/>
                <w:bottom w:val="none" w:sz="0" w:space="0" w:color="auto"/>
                <w:right w:val="none" w:sz="0" w:space="0" w:color="auto"/>
              </w:divBdr>
            </w:div>
            <w:div w:id="965428011">
              <w:marLeft w:val="0"/>
              <w:marRight w:val="0"/>
              <w:marTop w:val="0"/>
              <w:marBottom w:val="0"/>
              <w:divBdr>
                <w:top w:val="none" w:sz="0" w:space="0" w:color="auto"/>
                <w:left w:val="none" w:sz="0" w:space="0" w:color="auto"/>
                <w:bottom w:val="none" w:sz="0" w:space="0" w:color="auto"/>
                <w:right w:val="none" w:sz="0" w:space="0" w:color="auto"/>
              </w:divBdr>
            </w:div>
            <w:div w:id="999649877">
              <w:marLeft w:val="0"/>
              <w:marRight w:val="0"/>
              <w:marTop w:val="0"/>
              <w:marBottom w:val="0"/>
              <w:divBdr>
                <w:top w:val="none" w:sz="0" w:space="0" w:color="auto"/>
                <w:left w:val="none" w:sz="0" w:space="0" w:color="auto"/>
                <w:bottom w:val="none" w:sz="0" w:space="0" w:color="auto"/>
                <w:right w:val="none" w:sz="0" w:space="0" w:color="auto"/>
              </w:divBdr>
            </w:div>
            <w:div w:id="1087111871">
              <w:marLeft w:val="0"/>
              <w:marRight w:val="0"/>
              <w:marTop w:val="0"/>
              <w:marBottom w:val="0"/>
              <w:divBdr>
                <w:top w:val="none" w:sz="0" w:space="0" w:color="auto"/>
                <w:left w:val="none" w:sz="0" w:space="0" w:color="auto"/>
                <w:bottom w:val="none" w:sz="0" w:space="0" w:color="auto"/>
                <w:right w:val="none" w:sz="0" w:space="0" w:color="auto"/>
              </w:divBdr>
            </w:div>
            <w:div w:id="1460412835">
              <w:marLeft w:val="0"/>
              <w:marRight w:val="0"/>
              <w:marTop w:val="0"/>
              <w:marBottom w:val="0"/>
              <w:divBdr>
                <w:top w:val="none" w:sz="0" w:space="0" w:color="auto"/>
                <w:left w:val="none" w:sz="0" w:space="0" w:color="auto"/>
                <w:bottom w:val="none" w:sz="0" w:space="0" w:color="auto"/>
                <w:right w:val="none" w:sz="0" w:space="0" w:color="auto"/>
              </w:divBdr>
            </w:div>
            <w:div w:id="1572886131">
              <w:marLeft w:val="0"/>
              <w:marRight w:val="0"/>
              <w:marTop w:val="0"/>
              <w:marBottom w:val="0"/>
              <w:divBdr>
                <w:top w:val="none" w:sz="0" w:space="0" w:color="auto"/>
                <w:left w:val="none" w:sz="0" w:space="0" w:color="auto"/>
                <w:bottom w:val="none" w:sz="0" w:space="0" w:color="auto"/>
                <w:right w:val="none" w:sz="0" w:space="0" w:color="auto"/>
              </w:divBdr>
            </w:div>
            <w:div w:id="1765102479">
              <w:marLeft w:val="0"/>
              <w:marRight w:val="0"/>
              <w:marTop w:val="0"/>
              <w:marBottom w:val="0"/>
              <w:divBdr>
                <w:top w:val="none" w:sz="0" w:space="0" w:color="auto"/>
                <w:left w:val="none" w:sz="0" w:space="0" w:color="auto"/>
                <w:bottom w:val="none" w:sz="0" w:space="0" w:color="auto"/>
                <w:right w:val="none" w:sz="0" w:space="0" w:color="auto"/>
              </w:divBdr>
            </w:div>
            <w:div w:id="1777093653">
              <w:marLeft w:val="0"/>
              <w:marRight w:val="0"/>
              <w:marTop w:val="0"/>
              <w:marBottom w:val="0"/>
              <w:divBdr>
                <w:top w:val="none" w:sz="0" w:space="0" w:color="auto"/>
                <w:left w:val="none" w:sz="0" w:space="0" w:color="auto"/>
                <w:bottom w:val="none" w:sz="0" w:space="0" w:color="auto"/>
                <w:right w:val="none" w:sz="0" w:space="0" w:color="auto"/>
              </w:divBdr>
            </w:div>
            <w:div w:id="1822429143">
              <w:marLeft w:val="0"/>
              <w:marRight w:val="0"/>
              <w:marTop w:val="0"/>
              <w:marBottom w:val="0"/>
              <w:divBdr>
                <w:top w:val="none" w:sz="0" w:space="0" w:color="auto"/>
                <w:left w:val="none" w:sz="0" w:space="0" w:color="auto"/>
                <w:bottom w:val="none" w:sz="0" w:space="0" w:color="auto"/>
                <w:right w:val="none" w:sz="0" w:space="0" w:color="auto"/>
              </w:divBdr>
            </w:div>
            <w:div w:id="1824467940">
              <w:marLeft w:val="0"/>
              <w:marRight w:val="0"/>
              <w:marTop w:val="0"/>
              <w:marBottom w:val="0"/>
              <w:divBdr>
                <w:top w:val="none" w:sz="0" w:space="0" w:color="auto"/>
                <w:left w:val="none" w:sz="0" w:space="0" w:color="auto"/>
                <w:bottom w:val="none" w:sz="0" w:space="0" w:color="auto"/>
                <w:right w:val="none" w:sz="0" w:space="0" w:color="auto"/>
              </w:divBdr>
            </w:div>
            <w:div w:id="2105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5503">
      <w:bodyDiv w:val="1"/>
      <w:marLeft w:val="0"/>
      <w:marRight w:val="0"/>
      <w:marTop w:val="0"/>
      <w:marBottom w:val="0"/>
      <w:divBdr>
        <w:top w:val="none" w:sz="0" w:space="0" w:color="auto"/>
        <w:left w:val="none" w:sz="0" w:space="0" w:color="auto"/>
        <w:bottom w:val="none" w:sz="0" w:space="0" w:color="auto"/>
        <w:right w:val="none" w:sz="0" w:space="0" w:color="auto"/>
      </w:divBdr>
      <w:divsChild>
        <w:div w:id="330183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244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8317499">
      <w:bodyDiv w:val="1"/>
      <w:marLeft w:val="0"/>
      <w:marRight w:val="0"/>
      <w:marTop w:val="0"/>
      <w:marBottom w:val="0"/>
      <w:divBdr>
        <w:top w:val="none" w:sz="0" w:space="0" w:color="auto"/>
        <w:left w:val="none" w:sz="0" w:space="0" w:color="auto"/>
        <w:bottom w:val="none" w:sz="0" w:space="0" w:color="auto"/>
        <w:right w:val="none" w:sz="0" w:space="0" w:color="auto"/>
      </w:divBdr>
      <w:divsChild>
        <w:div w:id="931670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2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34498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50629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855190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2293328">
      <w:bodyDiv w:val="1"/>
      <w:marLeft w:val="0"/>
      <w:marRight w:val="0"/>
      <w:marTop w:val="0"/>
      <w:marBottom w:val="0"/>
      <w:divBdr>
        <w:top w:val="none" w:sz="0" w:space="0" w:color="auto"/>
        <w:left w:val="none" w:sz="0" w:space="0" w:color="auto"/>
        <w:bottom w:val="none" w:sz="0" w:space="0" w:color="auto"/>
        <w:right w:val="none" w:sz="0" w:space="0" w:color="auto"/>
      </w:divBdr>
      <w:divsChild>
        <w:div w:id="1213687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064967">
      <w:bodyDiv w:val="1"/>
      <w:marLeft w:val="0"/>
      <w:marRight w:val="0"/>
      <w:marTop w:val="0"/>
      <w:marBottom w:val="0"/>
      <w:divBdr>
        <w:top w:val="none" w:sz="0" w:space="0" w:color="auto"/>
        <w:left w:val="none" w:sz="0" w:space="0" w:color="auto"/>
        <w:bottom w:val="none" w:sz="0" w:space="0" w:color="auto"/>
        <w:right w:val="none" w:sz="0" w:space="0" w:color="auto"/>
      </w:divBdr>
    </w:div>
    <w:div w:id="1129593816">
      <w:bodyDiv w:val="1"/>
      <w:marLeft w:val="0"/>
      <w:marRight w:val="0"/>
      <w:marTop w:val="0"/>
      <w:marBottom w:val="0"/>
      <w:divBdr>
        <w:top w:val="none" w:sz="0" w:space="0" w:color="auto"/>
        <w:left w:val="none" w:sz="0" w:space="0" w:color="auto"/>
        <w:bottom w:val="none" w:sz="0" w:space="0" w:color="auto"/>
        <w:right w:val="none" w:sz="0" w:space="0" w:color="auto"/>
      </w:divBdr>
      <w:divsChild>
        <w:div w:id="1215191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3835728">
      <w:bodyDiv w:val="1"/>
      <w:marLeft w:val="0"/>
      <w:marRight w:val="0"/>
      <w:marTop w:val="0"/>
      <w:marBottom w:val="0"/>
      <w:divBdr>
        <w:top w:val="none" w:sz="0" w:space="0" w:color="auto"/>
        <w:left w:val="none" w:sz="0" w:space="0" w:color="auto"/>
        <w:bottom w:val="none" w:sz="0" w:space="0" w:color="auto"/>
        <w:right w:val="none" w:sz="0" w:space="0" w:color="auto"/>
      </w:divBdr>
      <w:divsChild>
        <w:div w:id="880286684">
          <w:marLeft w:val="0"/>
          <w:marRight w:val="0"/>
          <w:marTop w:val="0"/>
          <w:marBottom w:val="0"/>
          <w:divBdr>
            <w:top w:val="none" w:sz="0" w:space="0" w:color="auto"/>
            <w:left w:val="none" w:sz="0" w:space="0" w:color="auto"/>
            <w:bottom w:val="none" w:sz="0" w:space="0" w:color="auto"/>
            <w:right w:val="none" w:sz="0" w:space="0" w:color="auto"/>
          </w:divBdr>
          <w:divsChild>
            <w:div w:id="47386053">
              <w:marLeft w:val="0"/>
              <w:marRight w:val="0"/>
              <w:marTop w:val="0"/>
              <w:marBottom w:val="0"/>
              <w:divBdr>
                <w:top w:val="none" w:sz="0" w:space="0" w:color="auto"/>
                <w:left w:val="none" w:sz="0" w:space="0" w:color="auto"/>
                <w:bottom w:val="none" w:sz="0" w:space="0" w:color="auto"/>
                <w:right w:val="none" w:sz="0" w:space="0" w:color="auto"/>
              </w:divBdr>
            </w:div>
            <w:div w:id="1286961265">
              <w:marLeft w:val="0"/>
              <w:marRight w:val="0"/>
              <w:marTop w:val="0"/>
              <w:marBottom w:val="0"/>
              <w:divBdr>
                <w:top w:val="none" w:sz="0" w:space="0" w:color="auto"/>
                <w:left w:val="none" w:sz="0" w:space="0" w:color="auto"/>
                <w:bottom w:val="none" w:sz="0" w:space="0" w:color="auto"/>
                <w:right w:val="none" w:sz="0" w:space="0" w:color="auto"/>
              </w:divBdr>
            </w:div>
            <w:div w:id="14459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0380">
      <w:bodyDiv w:val="1"/>
      <w:marLeft w:val="0"/>
      <w:marRight w:val="0"/>
      <w:marTop w:val="0"/>
      <w:marBottom w:val="0"/>
      <w:divBdr>
        <w:top w:val="none" w:sz="0" w:space="0" w:color="auto"/>
        <w:left w:val="none" w:sz="0" w:space="0" w:color="auto"/>
        <w:bottom w:val="none" w:sz="0" w:space="0" w:color="auto"/>
        <w:right w:val="none" w:sz="0" w:space="0" w:color="auto"/>
      </w:divBdr>
      <w:divsChild>
        <w:div w:id="928346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227671">
      <w:bodyDiv w:val="1"/>
      <w:marLeft w:val="0"/>
      <w:marRight w:val="0"/>
      <w:marTop w:val="0"/>
      <w:marBottom w:val="0"/>
      <w:divBdr>
        <w:top w:val="none" w:sz="0" w:space="0" w:color="auto"/>
        <w:left w:val="none" w:sz="0" w:space="0" w:color="auto"/>
        <w:bottom w:val="none" w:sz="0" w:space="0" w:color="auto"/>
        <w:right w:val="none" w:sz="0" w:space="0" w:color="auto"/>
      </w:divBdr>
      <w:divsChild>
        <w:div w:id="1699312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599720">
      <w:bodyDiv w:val="1"/>
      <w:marLeft w:val="0"/>
      <w:marRight w:val="0"/>
      <w:marTop w:val="0"/>
      <w:marBottom w:val="0"/>
      <w:divBdr>
        <w:top w:val="none" w:sz="0" w:space="0" w:color="auto"/>
        <w:left w:val="none" w:sz="0" w:space="0" w:color="auto"/>
        <w:bottom w:val="none" w:sz="0" w:space="0" w:color="auto"/>
        <w:right w:val="none" w:sz="0" w:space="0" w:color="auto"/>
      </w:divBdr>
    </w:div>
    <w:div w:id="1227691222">
      <w:bodyDiv w:val="1"/>
      <w:marLeft w:val="0"/>
      <w:marRight w:val="0"/>
      <w:marTop w:val="0"/>
      <w:marBottom w:val="0"/>
      <w:divBdr>
        <w:top w:val="none" w:sz="0" w:space="0" w:color="auto"/>
        <w:left w:val="none" w:sz="0" w:space="0" w:color="auto"/>
        <w:bottom w:val="none" w:sz="0" w:space="0" w:color="auto"/>
        <w:right w:val="none" w:sz="0" w:space="0" w:color="auto"/>
      </w:divBdr>
      <w:divsChild>
        <w:div w:id="1414549058">
          <w:marLeft w:val="0"/>
          <w:marRight w:val="0"/>
          <w:marTop w:val="0"/>
          <w:marBottom w:val="0"/>
          <w:divBdr>
            <w:top w:val="none" w:sz="0" w:space="0" w:color="auto"/>
            <w:left w:val="none" w:sz="0" w:space="0" w:color="auto"/>
            <w:bottom w:val="none" w:sz="0" w:space="0" w:color="auto"/>
            <w:right w:val="none" w:sz="0" w:space="0" w:color="auto"/>
          </w:divBdr>
          <w:divsChild>
            <w:div w:id="558979651">
              <w:marLeft w:val="0"/>
              <w:marRight w:val="0"/>
              <w:marTop w:val="0"/>
              <w:marBottom w:val="0"/>
              <w:divBdr>
                <w:top w:val="none" w:sz="0" w:space="0" w:color="auto"/>
                <w:left w:val="none" w:sz="0" w:space="0" w:color="auto"/>
                <w:bottom w:val="none" w:sz="0" w:space="0" w:color="auto"/>
                <w:right w:val="none" w:sz="0" w:space="0" w:color="auto"/>
              </w:divBdr>
            </w:div>
            <w:div w:id="1038315199">
              <w:marLeft w:val="0"/>
              <w:marRight w:val="0"/>
              <w:marTop w:val="0"/>
              <w:marBottom w:val="0"/>
              <w:divBdr>
                <w:top w:val="none" w:sz="0" w:space="0" w:color="auto"/>
                <w:left w:val="none" w:sz="0" w:space="0" w:color="auto"/>
                <w:bottom w:val="none" w:sz="0" w:space="0" w:color="auto"/>
                <w:right w:val="none" w:sz="0" w:space="0" w:color="auto"/>
              </w:divBdr>
            </w:div>
            <w:div w:id="1111168214">
              <w:marLeft w:val="0"/>
              <w:marRight w:val="0"/>
              <w:marTop w:val="0"/>
              <w:marBottom w:val="0"/>
              <w:divBdr>
                <w:top w:val="none" w:sz="0" w:space="0" w:color="auto"/>
                <w:left w:val="none" w:sz="0" w:space="0" w:color="auto"/>
                <w:bottom w:val="none" w:sz="0" w:space="0" w:color="auto"/>
                <w:right w:val="none" w:sz="0" w:space="0" w:color="auto"/>
              </w:divBdr>
            </w:div>
            <w:div w:id="1465460633">
              <w:marLeft w:val="0"/>
              <w:marRight w:val="0"/>
              <w:marTop w:val="0"/>
              <w:marBottom w:val="0"/>
              <w:divBdr>
                <w:top w:val="none" w:sz="0" w:space="0" w:color="auto"/>
                <w:left w:val="none" w:sz="0" w:space="0" w:color="auto"/>
                <w:bottom w:val="none" w:sz="0" w:space="0" w:color="auto"/>
                <w:right w:val="none" w:sz="0" w:space="0" w:color="auto"/>
              </w:divBdr>
            </w:div>
            <w:div w:id="1508787430">
              <w:marLeft w:val="0"/>
              <w:marRight w:val="0"/>
              <w:marTop w:val="0"/>
              <w:marBottom w:val="0"/>
              <w:divBdr>
                <w:top w:val="none" w:sz="0" w:space="0" w:color="auto"/>
                <w:left w:val="none" w:sz="0" w:space="0" w:color="auto"/>
                <w:bottom w:val="none" w:sz="0" w:space="0" w:color="auto"/>
                <w:right w:val="none" w:sz="0" w:space="0" w:color="auto"/>
              </w:divBdr>
            </w:div>
            <w:div w:id="1595432811">
              <w:marLeft w:val="0"/>
              <w:marRight w:val="0"/>
              <w:marTop w:val="0"/>
              <w:marBottom w:val="0"/>
              <w:divBdr>
                <w:top w:val="none" w:sz="0" w:space="0" w:color="auto"/>
                <w:left w:val="none" w:sz="0" w:space="0" w:color="auto"/>
                <w:bottom w:val="none" w:sz="0" w:space="0" w:color="auto"/>
                <w:right w:val="none" w:sz="0" w:space="0" w:color="auto"/>
              </w:divBdr>
            </w:div>
            <w:div w:id="1717856636">
              <w:marLeft w:val="0"/>
              <w:marRight w:val="0"/>
              <w:marTop w:val="0"/>
              <w:marBottom w:val="0"/>
              <w:divBdr>
                <w:top w:val="none" w:sz="0" w:space="0" w:color="auto"/>
                <w:left w:val="none" w:sz="0" w:space="0" w:color="auto"/>
                <w:bottom w:val="none" w:sz="0" w:space="0" w:color="auto"/>
                <w:right w:val="none" w:sz="0" w:space="0" w:color="auto"/>
              </w:divBdr>
            </w:div>
            <w:div w:id="18048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5214">
      <w:bodyDiv w:val="1"/>
      <w:marLeft w:val="0"/>
      <w:marRight w:val="0"/>
      <w:marTop w:val="0"/>
      <w:marBottom w:val="0"/>
      <w:divBdr>
        <w:top w:val="none" w:sz="0" w:space="0" w:color="auto"/>
        <w:left w:val="none" w:sz="0" w:space="0" w:color="auto"/>
        <w:bottom w:val="none" w:sz="0" w:space="0" w:color="auto"/>
        <w:right w:val="none" w:sz="0" w:space="0" w:color="auto"/>
      </w:divBdr>
      <w:divsChild>
        <w:div w:id="678971689">
          <w:marLeft w:val="0"/>
          <w:marRight w:val="0"/>
          <w:marTop w:val="0"/>
          <w:marBottom w:val="0"/>
          <w:divBdr>
            <w:top w:val="none" w:sz="0" w:space="0" w:color="auto"/>
            <w:left w:val="none" w:sz="0" w:space="0" w:color="auto"/>
            <w:bottom w:val="none" w:sz="0" w:space="0" w:color="auto"/>
            <w:right w:val="none" w:sz="0" w:space="0" w:color="auto"/>
          </w:divBdr>
          <w:divsChild>
            <w:div w:id="129786134">
              <w:marLeft w:val="0"/>
              <w:marRight w:val="0"/>
              <w:marTop w:val="0"/>
              <w:marBottom w:val="0"/>
              <w:divBdr>
                <w:top w:val="none" w:sz="0" w:space="0" w:color="auto"/>
                <w:left w:val="none" w:sz="0" w:space="0" w:color="auto"/>
                <w:bottom w:val="none" w:sz="0" w:space="0" w:color="auto"/>
                <w:right w:val="none" w:sz="0" w:space="0" w:color="auto"/>
              </w:divBdr>
            </w:div>
            <w:div w:id="577062001">
              <w:marLeft w:val="0"/>
              <w:marRight w:val="0"/>
              <w:marTop w:val="0"/>
              <w:marBottom w:val="0"/>
              <w:divBdr>
                <w:top w:val="none" w:sz="0" w:space="0" w:color="auto"/>
                <w:left w:val="none" w:sz="0" w:space="0" w:color="auto"/>
                <w:bottom w:val="none" w:sz="0" w:space="0" w:color="auto"/>
                <w:right w:val="none" w:sz="0" w:space="0" w:color="auto"/>
              </w:divBdr>
            </w:div>
            <w:div w:id="909971625">
              <w:marLeft w:val="0"/>
              <w:marRight w:val="0"/>
              <w:marTop w:val="0"/>
              <w:marBottom w:val="0"/>
              <w:divBdr>
                <w:top w:val="none" w:sz="0" w:space="0" w:color="auto"/>
                <w:left w:val="none" w:sz="0" w:space="0" w:color="auto"/>
                <w:bottom w:val="none" w:sz="0" w:space="0" w:color="auto"/>
                <w:right w:val="none" w:sz="0" w:space="0" w:color="auto"/>
              </w:divBdr>
            </w:div>
            <w:div w:id="1034305272">
              <w:marLeft w:val="0"/>
              <w:marRight w:val="0"/>
              <w:marTop w:val="0"/>
              <w:marBottom w:val="0"/>
              <w:divBdr>
                <w:top w:val="none" w:sz="0" w:space="0" w:color="auto"/>
                <w:left w:val="none" w:sz="0" w:space="0" w:color="auto"/>
                <w:bottom w:val="none" w:sz="0" w:space="0" w:color="auto"/>
                <w:right w:val="none" w:sz="0" w:space="0" w:color="auto"/>
              </w:divBdr>
            </w:div>
            <w:div w:id="1052774701">
              <w:marLeft w:val="0"/>
              <w:marRight w:val="0"/>
              <w:marTop w:val="0"/>
              <w:marBottom w:val="0"/>
              <w:divBdr>
                <w:top w:val="none" w:sz="0" w:space="0" w:color="auto"/>
                <w:left w:val="none" w:sz="0" w:space="0" w:color="auto"/>
                <w:bottom w:val="none" w:sz="0" w:space="0" w:color="auto"/>
                <w:right w:val="none" w:sz="0" w:space="0" w:color="auto"/>
              </w:divBdr>
            </w:div>
            <w:div w:id="1215889946">
              <w:marLeft w:val="0"/>
              <w:marRight w:val="0"/>
              <w:marTop w:val="0"/>
              <w:marBottom w:val="0"/>
              <w:divBdr>
                <w:top w:val="none" w:sz="0" w:space="0" w:color="auto"/>
                <w:left w:val="none" w:sz="0" w:space="0" w:color="auto"/>
                <w:bottom w:val="none" w:sz="0" w:space="0" w:color="auto"/>
                <w:right w:val="none" w:sz="0" w:space="0" w:color="auto"/>
              </w:divBdr>
            </w:div>
            <w:div w:id="1409770672">
              <w:marLeft w:val="0"/>
              <w:marRight w:val="0"/>
              <w:marTop w:val="0"/>
              <w:marBottom w:val="0"/>
              <w:divBdr>
                <w:top w:val="none" w:sz="0" w:space="0" w:color="auto"/>
                <w:left w:val="none" w:sz="0" w:space="0" w:color="auto"/>
                <w:bottom w:val="none" w:sz="0" w:space="0" w:color="auto"/>
                <w:right w:val="none" w:sz="0" w:space="0" w:color="auto"/>
              </w:divBdr>
            </w:div>
            <w:div w:id="1505822540">
              <w:marLeft w:val="0"/>
              <w:marRight w:val="0"/>
              <w:marTop w:val="0"/>
              <w:marBottom w:val="0"/>
              <w:divBdr>
                <w:top w:val="none" w:sz="0" w:space="0" w:color="auto"/>
                <w:left w:val="none" w:sz="0" w:space="0" w:color="auto"/>
                <w:bottom w:val="none" w:sz="0" w:space="0" w:color="auto"/>
                <w:right w:val="none" w:sz="0" w:space="0" w:color="auto"/>
              </w:divBdr>
            </w:div>
            <w:div w:id="214454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7501">
      <w:bodyDiv w:val="1"/>
      <w:marLeft w:val="0"/>
      <w:marRight w:val="0"/>
      <w:marTop w:val="0"/>
      <w:marBottom w:val="0"/>
      <w:divBdr>
        <w:top w:val="none" w:sz="0" w:space="0" w:color="auto"/>
        <w:left w:val="none" w:sz="0" w:space="0" w:color="auto"/>
        <w:bottom w:val="none" w:sz="0" w:space="0" w:color="auto"/>
        <w:right w:val="none" w:sz="0" w:space="0" w:color="auto"/>
      </w:divBdr>
      <w:divsChild>
        <w:div w:id="139151931">
          <w:marLeft w:val="0"/>
          <w:marRight w:val="0"/>
          <w:marTop w:val="0"/>
          <w:marBottom w:val="0"/>
          <w:divBdr>
            <w:top w:val="none" w:sz="0" w:space="0" w:color="auto"/>
            <w:left w:val="none" w:sz="0" w:space="0" w:color="auto"/>
            <w:bottom w:val="none" w:sz="0" w:space="0" w:color="auto"/>
            <w:right w:val="none" w:sz="0" w:space="0" w:color="auto"/>
          </w:divBdr>
          <w:divsChild>
            <w:div w:id="339355240">
              <w:marLeft w:val="0"/>
              <w:marRight w:val="0"/>
              <w:marTop w:val="0"/>
              <w:marBottom w:val="0"/>
              <w:divBdr>
                <w:top w:val="none" w:sz="0" w:space="0" w:color="auto"/>
                <w:left w:val="none" w:sz="0" w:space="0" w:color="auto"/>
                <w:bottom w:val="none" w:sz="0" w:space="0" w:color="auto"/>
                <w:right w:val="none" w:sz="0" w:space="0" w:color="auto"/>
              </w:divBdr>
            </w:div>
            <w:div w:id="403258608">
              <w:marLeft w:val="0"/>
              <w:marRight w:val="0"/>
              <w:marTop w:val="0"/>
              <w:marBottom w:val="0"/>
              <w:divBdr>
                <w:top w:val="none" w:sz="0" w:space="0" w:color="auto"/>
                <w:left w:val="none" w:sz="0" w:space="0" w:color="auto"/>
                <w:bottom w:val="none" w:sz="0" w:space="0" w:color="auto"/>
                <w:right w:val="none" w:sz="0" w:space="0" w:color="auto"/>
              </w:divBdr>
            </w:div>
            <w:div w:id="541405045">
              <w:marLeft w:val="0"/>
              <w:marRight w:val="0"/>
              <w:marTop w:val="0"/>
              <w:marBottom w:val="0"/>
              <w:divBdr>
                <w:top w:val="none" w:sz="0" w:space="0" w:color="auto"/>
                <w:left w:val="none" w:sz="0" w:space="0" w:color="auto"/>
                <w:bottom w:val="none" w:sz="0" w:space="0" w:color="auto"/>
                <w:right w:val="none" w:sz="0" w:space="0" w:color="auto"/>
              </w:divBdr>
            </w:div>
            <w:div w:id="943607619">
              <w:marLeft w:val="0"/>
              <w:marRight w:val="0"/>
              <w:marTop w:val="0"/>
              <w:marBottom w:val="0"/>
              <w:divBdr>
                <w:top w:val="none" w:sz="0" w:space="0" w:color="auto"/>
                <w:left w:val="none" w:sz="0" w:space="0" w:color="auto"/>
                <w:bottom w:val="none" w:sz="0" w:space="0" w:color="auto"/>
                <w:right w:val="none" w:sz="0" w:space="0" w:color="auto"/>
              </w:divBdr>
            </w:div>
            <w:div w:id="996499143">
              <w:marLeft w:val="0"/>
              <w:marRight w:val="0"/>
              <w:marTop w:val="0"/>
              <w:marBottom w:val="0"/>
              <w:divBdr>
                <w:top w:val="none" w:sz="0" w:space="0" w:color="auto"/>
                <w:left w:val="none" w:sz="0" w:space="0" w:color="auto"/>
                <w:bottom w:val="none" w:sz="0" w:space="0" w:color="auto"/>
                <w:right w:val="none" w:sz="0" w:space="0" w:color="auto"/>
              </w:divBdr>
            </w:div>
            <w:div w:id="1038118470">
              <w:marLeft w:val="0"/>
              <w:marRight w:val="0"/>
              <w:marTop w:val="0"/>
              <w:marBottom w:val="0"/>
              <w:divBdr>
                <w:top w:val="none" w:sz="0" w:space="0" w:color="auto"/>
                <w:left w:val="none" w:sz="0" w:space="0" w:color="auto"/>
                <w:bottom w:val="none" w:sz="0" w:space="0" w:color="auto"/>
                <w:right w:val="none" w:sz="0" w:space="0" w:color="auto"/>
              </w:divBdr>
            </w:div>
            <w:div w:id="1299265402">
              <w:marLeft w:val="0"/>
              <w:marRight w:val="0"/>
              <w:marTop w:val="0"/>
              <w:marBottom w:val="0"/>
              <w:divBdr>
                <w:top w:val="none" w:sz="0" w:space="0" w:color="auto"/>
                <w:left w:val="none" w:sz="0" w:space="0" w:color="auto"/>
                <w:bottom w:val="none" w:sz="0" w:space="0" w:color="auto"/>
                <w:right w:val="none" w:sz="0" w:space="0" w:color="auto"/>
              </w:divBdr>
            </w:div>
            <w:div w:id="1569001209">
              <w:marLeft w:val="0"/>
              <w:marRight w:val="0"/>
              <w:marTop w:val="0"/>
              <w:marBottom w:val="0"/>
              <w:divBdr>
                <w:top w:val="none" w:sz="0" w:space="0" w:color="auto"/>
                <w:left w:val="none" w:sz="0" w:space="0" w:color="auto"/>
                <w:bottom w:val="none" w:sz="0" w:space="0" w:color="auto"/>
                <w:right w:val="none" w:sz="0" w:space="0" w:color="auto"/>
              </w:divBdr>
            </w:div>
            <w:div w:id="1718092092">
              <w:marLeft w:val="0"/>
              <w:marRight w:val="0"/>
              <w:marTop w:val="0"/>
              <w:marBottom w:val="0"/>
              <w:divBdr>
                <w:top w:val="none" w:sz="0" w:space="0" w:color="auto"/>
                <w:left w:val="none" w:sz="0" w:space="0" w:color="auto"/>
                <w:bottom w:val="none" w:sz="0" w:space="0" w:color="auto"/>
                <w:right w:val="none" w:sz="0" w:space="0" w:color="auto"/>
              </w:divBdr>
            </w:div>
            <w:div w:id="1756897620">
              <w:marLeft w:val="0"/>
              <w:marRight w:val="0"/>
              <w:marTop w:val="0"/>
              <w:marBottom w:val="0"/>
              <w:divBdr>
                <w:top w:val="none" w:sz="0" w:space="0" w:color="auto"/>
                <w:left w:val="none" w:sz="0" w:space="0" w:color="auto"/>
                <w:bottom w:val="none" w:sz="0" w:space="0" w:color="auto"/>
                <w:right w:val="none" w:sz="0" w:space="0" w:color="auto"/>
              </w:divBdr>
            </w:div>
            <w:div w:id="1797604756">
              <w:marLeft w:val="0"/>
              <w:marRight w:val="0"/>
              <w:marTop w:val="0"/>
              <w:marBottom w:val="0"/>
              <w:divBdr>
                <w:top w:val="none" w:sz="0" w:space="0" w:color="auto"/>
                <w:left w:val="none" w:sz="0" w:space="0" w:color="auto"/>
                <w:bottom w:val="none" w:sz="0" w:space="0" w:color="auto"/>
                <w:right w:val="none" w:sz="0" w:space="0" w:color="auto"/>
              </w:divBdr>
            </w:div>
            <w:div w:id="1850219239">
              <w:marLeft w:val="0"/>
              <w:marRight w:val="0"/>
              <w:marTop w:val="0"/>
              <w:marBottom w:val="0"/>
              <w:divBdr>
                <w:top w:val="none" w:sz="0" w:space="0" w:color="auto"/>
                <w:left w:val="none" w:sz="0" w:space="0" w:color="auto"/>
                <w:bottom w:val="none" w:sz="0" w:space="0" w:color="auto"/>
                <w:right w:val="none" w:sz="0" w:space="0" w:color="auto"/>
              </w:divBdr>
            </w:div>
            <w:div w:id="1978996649">
              <w:marLeft w:val="0"/>
              <w:marRight w:val="0"/>
              <w:marTop w:val="0"/>
              <w:marBottom w:val="0"/>
              <w:divBdr>
                <w:top w:val="none" w:sz="0" w:space="0" w:color="auto"/>
                <w:left w:val="none" w:sz="0" w:space="0" w:color="auto"/>
                <w:bottom w:val="none" w:sz="0" w:space="0" w:color="auto"/>
                <w:right w:val="none" w:sz="0" w:space="0" w:color="auto"/>
              </w:divBdr>
            </w:div>
            <w:div w:id="21113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19705">
      <w:bodyDiv w:val="1"/>
      <w:marLeft w:val="0"/>
      <w:marRight w:val="0"/>
      <w:marTop w:val="0"/>
      <w:marBottom w:val="0"/>
      <w:divBdr>
        <w:top w:val="none" w:sz="0" w:space="0" w:color="auto"/>
        <w:left w:val="none" w:sz="0" w:space="0" w:color="auto"/>
        <w:bottom w:val="none" w:sz="0" w:space="0" w:color="auto"/>
        <w:right w:val="none" w:sz="0" w:space="0" w:color="auto"/>
      </w:divBdr>
      <w:divsChild>
        <w:div w:id="954215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024274">
      <w:bodyDiv w:val="1"/>
      <w:marLeft w:val="0"/>
      <w:marRight w:val="0"/>
      <w:marTop w:val="0"/>
      <w:marBottom w:val="0"/>
      <w:divBdr>
        <w:top w:val="none" w:sz="0" w:space="0" w:color="auto"/>
        <w:left w:val="none" w:sz="0" w:space="0" w:color="auto"/>
        <w:bottom w:val="none" w:sz="0" w:space="0" w:color="auto"/>
        <w:right w:val="none" w:sz="0" w:space="0" w:color="auto"/>
      </w:divBdr>
      <w:divsChild>
        <w:div w:id="1745491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1113403">
      <w:bodyDiv w:val="1"/>
      <w:marLeft w:val="0"/>
      <w:marRight w:val="0"/>
      <w:marTop w:val="0"/>
      <w:marBottom w:val="0"/>
      <w:divBdr>
        <w:top w:val="none" w:sz="0" w:space="0" w:color="auto"/>
        <w:left w:val="none" w:sz="0" w:space="0" w:color="auto"/>
        <w:bottom w:val="none" w:sz="0" w:space="0" w:color="auto"/>
        <w:right w:val="none" w:sz="0" w:space="0" w:color="auto"/>
      </w:divBdr>
      <w:divsChild>
        <w:div w:id="712770395">
          <w:marLeft w:val="0"/>
          <w:marRight w:val="0"/>
          <w:marTop w:val="0"/>
          <w:marBottom w:val="0"/>
          <w:divBdr>
            <w:top w:val="none" w:sz="0" w:space="0" w:color="auto"/>
            <w:left w:val="none" w:sz="0" w:space="0" w:color="auto"/>
            <w:bottom w:val="none" w:sz="0" w:space="0" w:color="auto"/>
            <w:right w:val="none" w:sz="0" w:space="0" w:color="auto"/>
          </w:divBdr>
          <w:divsChild>
            <w:div w:id="1404524875">
              <w:marLeft w:val="0"/>
              <w:marRight w:val="0"/>
              <w:marTop w:val="0"/>
              <w:marBottom w:val="0"/>
              <w:divBdr>
                <w:top w:val="none" w:sz="0" w:space="0" w:color="auto"/>
                <w:left w:val="none" w:sz="0" w:space="0" w:color="auto"/>
                <w:bottom w:val="none" w:sz="0" w:space="0" w:color="auto"/>
                <w:right w:val="none" w:sz="0" w:space="0" w:color="auto"/>
              </w:divBdr>
            </w:div>
            <w:div w:id="21403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923">
      <w:bodyDiv w:val="1"/>
      <w:marLeft w:val="0"/>
      <w:marRight w:val="0"/>
      <w:marTop w:val="0"/>
      <w:marBottom w:val="0"/>
      <w:divBdr>
        <w:top w:val="none" w:sz="0" w:space="0" w:color="auto"/>
        <w:left w:val="none" w:sz="0" w:space="0" w:color="auto"/>
        <w:bottom w:val="none" w:sz="0" w:space="0" w:color="auto"/>
        <w:right w:val="none" w:sz="0" w:space="0" w:color="auto"/>
      </w:divBdr>
    </w:div>
    <w:div w:id="1314531704">
      <w:bodyDiv w:val="1"/>
      <w:marLeft w:val="0"/>
      <w:marRight w:val="0"/>
      <w:marTop w:val="0"/>
      <w:marBottom w:val="0"/>
      <w:divBdr>
        <w:top w:val="none" w:sz="0" w:space="0" w:color="auto"/>
        <w:left w:val="none" w:sz="0" w:space="0" w:color="auto"/>
        <w:bottom w:val="none" w:sz="0" w:space="0" w:color="auto"/>
        <w:right w:val="none" w:sz="0" w:space="0" w:color="auto"/>
      </w:divBdr>
      <w:divsChild>
        <w:div w:id="549729075">
          <w:marLeft w:val="0"/>
          <w:marRight w:val="0"/>
          <w:marTop w:val="0"/>
          <w:marBottom w:val="0"/>
          <w:divBdr>
            <w:top w:val="none" w:sz="0" w:space="0" w:color="auto"/>
            <w:left w:val="none" w:sz="0" w:space="0" w:color="auto"/>
            <w:bottom w:val="none" w:sz="0" w:space="0" w:color="auto"/>
            <w:right w:val="none" w:sz="0" w:space="0" w:color="auto"/>
          </w:divBdr>
          <w:divsChild>
            <w:div w:id="626787493">
              <w:marLeft w:val="0"/>
              <w:marRight w:val="0"/>
              <w:marTop w:val="0"/>
              <w:marBottom w:val="0"/>
              <w:divBdr>
                <w:top w:val="none" w:sz="0" w:space="0" w:color="auto"/>
                <w:left w:val="none" w:sz="0" w:space="0" w:color="auto"/>
                <w:bottom w:val="none" w:sz="0" w:space="0" w:color="auto"/>
                <w:right w:val="none" w:sz="0" w:space="0" w:color="auto"/>
              </w:divBdr>
            </w:div>
            <w:div w:id="634332940">
              <w:marLeft w:val="0"/>
              <w:marRight w:val="0"/>
              <w:marTop w:val="0"/>
              <w:marBottom w:val="0"/>
              <w:divBdr>
                <w:top w:val="none" w:sz="0" w:space="0" w:color="auto"/>
                <w:left w:val="none" w:sz="0" w:space="0" w:color="auto"/>
                <w:bottom w:val="none" w:sz="0" w:space="0" w:color="auto"/>
                <w:right w:val="none" w:sz="0" w:space="0" w:color="auto"/>
              </w:divBdr>
            </w:div>
            <w:div w:id="731973979">
              <w:marLeft w:val="0"/>
              <w:marRight w:val="0"/>
              <w:marTop w:val="0"/>
              <w:marBottom w:val="0"/>
              <w:divBdr>
                <w:top w:val="none" w:sz="0" w:space="0" w:color="auto"/>
                <w:left w:val="none" w:sz="0" w:space="0" w:color="auto"/>
                <w:bottom w:val="none" w:sz="0" w:space="0" w:color="auto"/>
                <w:right w:val="none" w:sz="0" w:space="0" w:color="auto"/>
              </w:divBdr>
            </w:div>
            <w:div w:id="881525190">
              <w:marLeft w:val="0"/>
              <w:marRight w:val="0"/>
              <w:marTop w:val="0"/>
              <w:marBottom w:val="0"/>
              <w:divBdr>
                <w:top w:val="none" w:sz="0" w:space="0" w:color="auto"/>
                <w:left w:val="none" w:sz="0" w:space="0" w:color="auto"/>
                <w:bottom w:val="none" w:sz="0" w:space="0" w:color="auto"/>
                <w:right w:val="none" w:sz="0" w:space="0" w:color="auto"/>
              </w:divBdr>
            </w:div>
            <w:div w:id="896285475">
              <w:marLeft w:val="0"/>
              <w:marRight w:val="0"/>
              <w:marTop w:val="0"/>
              <w:marBottom w:val="0"/>
              <w:divBdr>
                <w:top w:val="none" w:sz="0" w:space="0" w:color="auto"/>
                <w:left w:val="none" w:sz="0" w:space="0" w:color="auto"/>
                <w:bottom w:val="none" w:sz="0" w:space="0" w:color="auto"/>
                <w:right w:val="none" w:sz="0" w:space="0" w:color="auto"/>
              </w:divBdr>
            </w:div>
            <w:div w:id="900940592">
              <w:marLeft w:val="0"/>
              <w:marRight w:val="0"/>
              <w:marTop w:val="0"/>
              <w:marBottom w:val="0"/>
              <w:divBdr>
                <w:top w:val="none" w:sz="0" w:space="0" w:color="auto"/>
                <w:left w:val="none" w:sz="0" w:space="0" w:color="auto"/>
                <w:bottom w:val="none" w:sz="0" w:space="0" w:color="auto"/>
                <w:right w:val="none" w:sz="0" w:space="0" w:color="auto"/>
              </w:divBdr>
            </w:div>
            <w:div w:id="1045914101">
              <w:marLeft w:val="0"/>
              <w:marRight w:val="0"/>
              <w:marTop w:val="0"/>
              <w:marBottom w:val="0"/>
              <w:divBdr>
                <w:top w:val="none" w:sz="0" w:space="0" w:color="auto"/>
                <w:left w:val="none" w:sz="0" w:space="0" w:color="auto"/>
                <w:bottom w:val="none" w:sz="0" w:space="0" w:color="auto"/>
                <w:right w:val="none" w:sz="0" w:space="0" w:color="auto"/>
              </w:divBdr>
            </w:div>
            <w:div w:id="1168670454">
              <w:marLeft w:val="0"/>
              <w:marRight w:val="0"/>
              <w:marTop w:val="0"/>
              <w:marBottom w:val="0"/>
              <w:divBdr>
                <w:top w:val="none" w:sz="0" w:space="0" w:color="auto"/>
                <w:left w:val="none" w:sz="0" w:space="0" w:color="auto"/>
                <w:bottom w:val="none" w:sz="0" w:space="0" w:color="auto"/>
                <w:right w:val="none" w:sz="0" w:space="0" w:color="auto"/>
              </w:divBdr>
            </w:div>
            <w:div w:id="1217357373">
              <w:marLeft w:val="0"/>
              <w:marRight w:val="0"/>
              <w:marTop w:val="0"/>
              <w:marBottom w:val="0"/>
              <w:divBdr>
                <w:top w:val="none" w:sz="0" w:space="0" w:color="auto"/>
                <w:left w:val="none" w:sz="0" w:space="0" w:color="auto"/>
                <w:bottom w:val="none" w:sz="0" w:space="0" w:color="auto"/>
                <w:right w:val="none" w:sz="0" w:space="0" w:color="auto"/>
              </w:divBdr>
            </w:div>
            <w:div w:id="1519268155">
              <w:marLeft w:val="0"/>
              <w:marRight w:val="0"/>
              <w:marTop w:val="0"/>
              <w:marBottom w:val="0"/>
              <w:divBdr>
                <w:top w:val="none" w:sz="0" w:space="0" w:color="auto"/>
                <w:left w:val="none" w:sz="0" w:space="0" w:color="auto"/>
                <w:bottom w:val="none" w:sz="0" w:space="0" w:color="auto"/>
                <w:right w:val="none" w:sz="0" w:space="0" w:color="auto"/>
              </w:divBdr>
            </w:div>
            <w:div w:id="2091535717">
              <w:marLeft w:val="0"/>
              <w:marRight w:val="0"/>
              <w:marTop w:val="0"/>
              <w:marBottom w:val="0"/>
              <w:divBdr>
                <w:top w:val="none" w:sz="0" w:space="0" w:color="auto"/>
                <w:left w:val="none" w:sz="0" w:space="0" w:color="auto"/>
                <w:bottom w:val="none" w:sz="0" w:space="0" w:color="auto"/>
                <w:right w:val="none" w:sz="0" w:space="0" w:color="auto"/>
              </w:divBdr>
            </w:div>
            <w:div w:id="21296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65950">
      <w:bodyDiv w:val="1"/>
      <w:marLeft w:val="0"/>
      <w:marRight w:val="0"/>
      <w:marTop w:val="0"/>
      <w:marBottom w:val="0"/>
      <w:divBdr>
        <w:top w:val="none" w:sz="0" w:space="0" w:color="auto"/>
        <w:left w:val="none" w:sz="0" w:space="0" w:color="auto"/>
        <w:bottom w:val="none" w:sz="0" w:space="0" w:color="auto"/>
        <w:right w:val="none" w:sz="0" w:space="0" w:color="auto"/>
      </w:divBdr>
      <w:divsChild>
        <w:div w:id="1073696432">
          <w:marLeft w:val="0"/>
          <w:marRight w:val="0"/>
          <w:marTop w:val="0"/>
          <w:marBottom w:val="0"/>
          <w:divBdr>
            <w:top w:val="none" w:sz="0" w:space="0" w:color="auto"/>
            <w:left w:val="none" w:sz="0" w:space="0" w:color="auto"/>
            <w:bottom w:val="none" w:sz="0" w:space="0" w:color="auto"/>
            <w:right w:val="none" w:sz="0" w:space="0" w:color="auto"/>
          </w:divBdr>
          <w:divsChild>
            <w:div w:id="24792039">
              <w:marLeft w:val="0"/>
              <w:marRight w:val="0"/>
              <w:marTop w:val="0"/>
              <w:marBottom w:val="0"/>
              <w:divBdr>
                <w:top w:val="none" w:sz="0" w:space="0" w:color="auto"/>
                <w:left w:val="none" w:sz="0" w:space="0" w:color="auto"/>
                <w:bottom w:val="none" w:sz="0" w:space="0" w:color="auto"/>
                <w:right w:val="none" w:sz="0" w:space="0" w:color="auto"/>
              </w:divBdr>
            </w:div>
            <w:div w:id="62534539">
              <w:marLeft w:val="0"/>
              <w:marRight w:val="0"/>
              <w:marTop w:val="0"/>
              <w:marBottom w:val="0"/>
              <w:divBdr>
                <w:top w:val="none" w:sz="0" w:space="0" w:color="auto"/>
                <w:left w:val="none" w:sz="0" w:space="0" w:color="auto"/>
                <w:bottom w:val="none" w:sz="0" w:space="0" w:color="auto"/>
                <w:right w:val="none" w:sz="0" w:space="0" w:color="auto"/>
              </w:divBdr>
            </w:div>
            <w:div w:id="135076623">
              <w:marLeft w:val="0"/>
              <w:marRight w:val="0"/>
              <w:marTop w:val="0"/>
              <w:marBottom w:val="0"/>
              <w:divBdr>
                <w:top w:val="none" w:sz="0" w:space="0" w:color="auto"/>
                <w:left w:val="none" w:sz="0" w:space="0" w:color="auto"/>
                <w:bottom w:val="none" w:sz="0" w:space="0" w:color="auto"/>
                <w:right w:val="none" w:sz="0" w:space="0" w:color="auto"/>
              </w:divBdr>
            </w:div>
            <w:div w:id="657079097">
              <w:marLeft w:val="0"/>
              <w:marRight w:val="0"/>
              <w:marTop w:val="0"/>
              <w:marBottom w:val="0"/>
              <w:divBdr>
                <w:top w:val="none" w:sz="0" w:space="0" w:color="auto"/>
                <w:left w:val="none" w:sz="0" w:space="0" w:color="auto"/>
                <w:bottom w:val="none" w:sz="0" w:space="0" w:color="auto"/>
                <w:right w:val="none" w:sz="0" w:space="0" w:color="auto"/>
              </w:divBdr>
            </w:div>
            <w:div w:id="1308052535">
              <w:marLeft w:val="0"/>
              <w:marRight w:val="0"/>
              <w:marTop w:val="0"/>
              <w:marBottom w:val="0"/>
              <w:divBdr>
                <w:top w:val="none" w:sz="0" w:space="0" w:color="auto"/>
                <w:left w:val="none" w:sz="0" w:space="0" w:color="auto"/>
                <w:bottom w:val="none" w:sz="0" w:space="0" w:color="auto"/>
                <w:right w:val="none" w:sz="0" w:space="0" w:color="auto"/>
              </w:divBdr>
            </w:div>
            <w:div w:id="1348487502">
              <w:marLeft w:val="0"/>
              <w:marRight w:val="0"/>
              <w:marTop w:val="0"/>
              <w:marBottom w:val="0"/>
              <w:divBdr>
                <w:top w:val="none" w:sz="0" w:space="0" w:color="auto"/>
                <w:left w:val="none" w:sz="0" w:space="0" w:color="auto"/>
                <w:bottom w:val="none" w:sz="0" w:space="0" w:color="auto"/>
                <w:right w:val="none" w:sz="0" w:space="0" w:color="auto"/>
              </w:divBdr>
            </w:div>
            <w:div w:id="1738895246">
              <w:marLeft w:val="0"/>
              <w:marRight w:val="0"/>
              <w:marTop w:val="0"/>
              <w:marBottom w:val="0"/>
              <w:divBdr>
                <w:top w:val="none" w:sz="0" w:space="0" w:color="auto"/>
                <w:left w:val="none" w:sz="0" w:space="0" w:color="auto"/>
                <w:bottom w:val="none" w:sz="0" w:space="0" w:color="auto"/>
                <w:right w:val="none" w:sz="0" w:space="0" w:color="auto"/>
              </w:divBdr>
            </w:div>
            <w:div w:id="20011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721">
      <w:bodyDiv w:val="1"/>
      <w:marLeft w:val="0"/>
      <w:marRight w:val="0"/>
      <w:marTop w:val="0"/>
      <w:marBottom w:val="0"/>
      <w:divBdr>
        <w:top w:val="none" w:sz="0" w:space="0" w:color="auto"/>
        <w:left w:val="none" w:sz="0" w:space="0" w:color="auto"/>
        <w:bottom w:val="none" w:sz="0" w:space="0" w:color="auto"/>
        <w:right w:val="none" w:sz="0" w:space="0" w:color="auto"/>
      </w:divBdr>
      <w:divsChild>
        <w:div w:id="2102144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095537">
      <w:bodyDiv w:val="1"/>
      <w:marLeft w:val="0"/>
      <w:marRight w:val="0"/>
      <w:marTop w:val="0"/>
      <w:marBottom w:val="0"/>
      <w:divBdr>
        <w:top w:val="none" w:sz="0" w:space="0" w:color="auto"/>
        <w:left w:val="none" w:sz="0" w:space="0" w:color="auto"/>
        <w:bottom w:val="none" w:sz="0" w:space="0" w:color="auto"/>
        <w:right w:val="none" w:sz="0" w:space="0" w:color="auto"/>
      </w:divBdr>
      <w:divsChild>
        <w:div w:id="1248002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538788">
      <w:bodyDiv w:val="1"/>
      <w:marLeft w:val="0"/>
      <w:marRight w:val="0"/>
      <w:marTop w:val="0"/>
      <w:marBottom w:val="0"/>
      <w:divBdr>
        <w:top w:val="none" w:sz="0" w:space="0" w:color="auto"/>
        <w:left w:val="none" w:sz="0" w:space="0" w:color="auto"/>
        <w:bottom w:val="none" w:sz="0" w:space="0" w:color="auto"/>
        <w:right w:val="none" w:sz="0" w:space="0" w:color="auto"/>
      </w:divBdr>
      <w:divsChild>
        <w:div w:id="161747941">
          <w:marLeft w:val="0"/>
          <w:marRight w:val="0"/>
          <w:marTop w:val="270"/>
          <w:marBottom w:val="0"/>
          <w:divBdr>
            <w:top w:val="none" w:sz="0" w:space="0" w:color="auto"/>
            <w:left w:val="none" w:sz="0" w:space="0" w:color="auto"/>
            <w:bottom w:val="none" w:sz="0" w:space="0" w:color="auto"/>
            <w:right w:val="none" w:sz="0" w:space="0" w:color="auto"/>
          </w:divBdr>
          <w:divsChild>
            <w:div w:id="7409105">
              <w:marLeft w:val="3960"/>
              <w:marRight w:val="240"/>
              <w:marTop w:val="240"/>
              <w:marBottom w:val="0"/>
              <w:divBdr>
                <w:top w:val="none" w:sz="0" w:space="0" w:color="auto"/>
                <w:left w:val="none" w:sz="0" w:space="0" w:color="auto"/>
                <w:bottom w:val="none" w:sz="0" w:space="0" w:color="auto"/>
                <w:right w:val="none" w:sz="0" w:space="0" w:color="auto"/>
              </w:divBdr>
              <w:divsChild>
                <w:div w:id="1265455997">
                  <w:marLeft w:val="0"/>
                  <w:marRight w:val="0"/>
                  <w:marTop w:val="0"/>
                  <w:marBottom w:val="0"/>
                  <w:divBdr>
                    <w:top w:val="none" w:sz="0" w:space="0" w:color="auto"/>
                    <w:left w:val="none" w:sz="0" w:space="0" w:color="auto"/>
                    <w:bottom w:val="none" w:sz="0" w:space="0" w:color="auto"/>
                    <w:right w:val="none" w:sz="0" w:space="0" w:color="auto"/>
                  </w:divBdr>
                </w:div>
                <w:div w:id="1564289136">
                  <w:marLeft w:val="0"/>
                  <w:marRight w:val="0"/>
                  <w:marTop w:val="0"/>
                  <w:marBottom w:val="0"/>
                  <w:divBdr>
                    <w:top w:val="none" w:sz="0" w:space="0" w:color="auto"/>
                    <w:left w:val="none" w:sz="0" w:space="0" w:color="auto"/>
                    <w:bottom w:val="none" w:sz="0" w:space="0" w:color="auto"/>
                    <w:right w:val="none" w:sz="0" w:space="0" w:color="auto"/>
                  </w:divBdr>
                </w:div>
                <w:div w:id="19965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5502">
      <w:bodyDiv w:val="1"/>
      <w:marLeft w:val="0"/>
      <w:marRight w:val="0"/>
      <w:marTop w:val="0"/>
      <w:marBottom w:val="0"/>
      <w:divBdr>
        <w:top w:val="none" w:sz="0" w:space="0" w:color="auto"/>
        <w:left w:val="none" w:sz="0" w:space="0" w:color="auto"/>
        <w:bottom w:val="none" w:sz="0" w:space="0" w:color="auto"/>
        <w:right w:val="none" w:sz="0" w:space="0" w:color="auto"/>
      </w:divBdr>
      <w:divsChild>
        <w:div w:id="872419528">
          <w:marLeft w:val="0"/>
          <w:marRight w:val="0"/>
          <w:marTop w:val="0"/>
          <w:marBottom w:val="0"/>
          <w:divBdr>
            <w:top w:val="none" w:sz="0" w:space="0" w:color="auto"/>
            <w:left w:val="none" w:sz="0" w:space="0" w:color="auto"/>
            <w:bottom w:val="none" w:sz="0" w:space="0" w:color="auto"/>
            <w:right w:val="none" w:sz="0" w:space="0" w:color="auto"/>
          </w:divBdr>
          <w:divsChild>
            <w:div w:id="134687224">
              <w:marLeft w:val="0"/>
              <w:marRight w:val="0"/>
              <w:marTop w:val="0"/>
              <w:marBottom w:val="0"/>
              <w:divBdr>
                <w:top w:val="none" w:sz="0" w:space="0" w:color="auto"/>
                <w:left w:val="none" w:sz="0" w:space="0" w:color="auto"/>
                <w:bottom w:val="none" w:sz="0" w:space="0" w:color="auto"/>
                <w:right w:val="none" w:sz="0" w:space="0" w:color="auto"/>
              </w:divBdr>
            </w:div>
            <w:div w:id="190656214">
              <w:marLeft w:val="0"/>
              <w:marRight w:val="0"/>
              <w:marTop w:val="0"/>
              <w:marBottom w:val="0"/>
              <w:divBdr>
                <w:top w:val="none" w:sz="0" w:space="0" w:color="auto"/>
                <w:left w:val="none" w:sz="0" w:space="0" w:color="auto"/>
                <w:bottom w:val="none" w:sz="0" w:space="0" w:color="auto"/>
                <w:right w:val="none" w:sz="0" w:space="0" w:color="auto"/>
              </w:divBdr>
            </w:div>
            <w:div w:id="845436807">
              <w:marLeft w:val="0"/>
              <w:marRight w:val="0"/>
              <w:marTop w:val="0"/>
              <w:marBottom w:val="0"/>
              <w:divBdr>
                <w:top w:val="none" w:sz="0" w:space="0" w:color="auto"/>
                <w:left w:val="none" w:sz="0" w:space="0" w:color="auto"/>
                <w:bottom w:val="none" w:sz="0" w:space="0" w:color="auto"/>
                <w:right w:val="none" w:sz="0" w:space="0" w:color="auto"/>
              </w:divBdr>
            </w:div>
            <w:div w:id="856844630">
              <w:marLeft w:val="0"/>
              <w:marRight w:val="0"/>
              <w:marTop w:val="0"/>
              <w:marBottom w:val="0"/>
              <w:divBdr>
                <w:top w:val="none" w:sz="0" w:space="0" w:color="auto"/>
                <w:left w:val="none" w:sz="0" w:space="0" w:color="auto"/>
                <w:bottom w:val="none" w:sz="0" w:space="0" w:color="auto"/>
                <w:right w:val="none" w:sz="0" w:space="0" w:color="auto"/>
              </w:divBdr>
            </w:div>
            <w:div w:id="1013723635">
              <w:marLeft w:val="0"/>
              <w:marRight w:val="0"/>
              <w:marTop w:val="0"/>
              <w:marBottom w:val="0"/>
              <w:divBdr>
                <w:top w:val="none" w:sz="0" w:space="0" w:color="auto"/>
                <w:left w:val="none" w:sz="0" w:space="0" w:color="auto"/>
                <w:bottom w:val="none" w:sz="0" w:space="0" w:color="auto"/>
                <w:right w:val="none" w:sz="0" w:space="0" w:color="auto"/>
              </w:divBdr>
            </w:div>
            <w:div w:id="1165827779">
              <w:marLeft w:val="0"/>
              <w:marRight w:val="0"/>
              <w:marTop w:val="0"/>
              <w:marBottom w:val="0"/>
              <w:divBdr>
                <w:top w:val="none" w:sz="0" w:space="0" w:color="auto"/>
                <w:left w:val="none" w:sz="0" w:space="0" w:color="auto"/>
                <w:bottom w:val="none" w:sz="0" w:space="0" w:color="auto"/>
                <w:right w:val="none" w:sz="0" w:space="0" w:color="auto"/>
              </w:divBdr>
            </w:div>
            <w:div w:id="14577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2419">
      <w:bodyDiv w:val="1"/>
      <w:marLeft w:val="0"/>
      <w:marRight w:val="0"/>
      <w:marTop w:val="0"/>
      <w:marBottom w:val="0"/>
      <w:divBdr>
        <w:top w:val="none" w:sz="0" w:space="0" w:color="auto"/>
        <w:left w:val="none" w:sz="0" w:space="0" w:color="auto"/>
        <w:bottom w:val="none" w:sz="0" w:space="0" w:color="auto"/>
        <w:right w:val="none" w:sz="0" w:space="0" w:color="auto"/>
      </w:divBdr>
      <w:divsChild>
        <w:div w:id="385838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822211">
      <w:bodyDiv w:val="1"/>
      <w:marLeft w:val="0"/>
      <w:marRight w:val="0"/>
      <w:marTop w:val="0"/>
      <w:marBottom w:val="0"/>
      <w:divBdr>
        <w:top w:val="none" w:sz="0" w:space="0" w:color="auto"/>
        <w:left w:val="none" w:sz="0" w:space="0" w:color="auto"/>
        <w:bottom w:val="none" w:sz="0" w:space="0" w:color="auto"/>
        <w:right w:val="none" w:sz="0" w:space="0" w:color="auto"/>
      </w:divBdr>
      <w:divsChild>
        <w:div w:id="862551088">
          <w:marLeft w:val="0"/>
          <w:marRight w:val="0"/>
          <w:marTop w:val="0"/>
          <w:marBottom w:val="0"/>
          <w:divBdr>
            <w:top w:val="none" w:sz="0" w:space="0" w:color="auto"/>
            <w:left w:val="none" w:sz="0" w:space="0" w:color="auto"/>
            <w:bottom w:val="none" w:sz="0" w:space="0" w:color="auto"/>
            <w:right w:val="none" w:sz="0" w:space="0" w:color="auto"/>
          </w:divBdr>
        </w:div>
      </w:divsChild>
    </w:div>
    <w:div w:id="1583299094">
      <w:bodyDiv w:val="1"/>
      <w:marLeft w:val="0"/>
      <w:marRight w:val="0"/>
      <w:marTop w:val="0"/>
      <w:marBottom w:val="0"/>
      <w:divBdr>
        <w:top w:val="none" w:sz="0" w:space="0" w:color="auto"/>
        <w:left w:val="none" w:sz="0" w:space="0" w:color="auto"/>
        <w:bottom w:val="none" w:sz="0" w:space="0" w:color="auto"/>
        <w:right w:val="none" w:sz="0" w:space="0" w:color="auto"/>
      </w:divBdr>
      <w:divsChild>
        <w:div w:id="613444107">
          <w:marLeft w:val="0"/>
          <w:marRight w:val="0"/>
          <w:marTop w:val="0"/>
          <w:marBottom w:val="0"/>
          <w:divBdr>
            <w:top w:val="none" w:sz="0" w:space="0" w:color="auto"/>
            <w:left w:val="none" w:sz="0" w:space="0" w:color="auto"/>
            <w:bottom w:val="none" w:sz="0" w:space="0" w:color="auto"/>
            <w:right w:val="none" w:sz="0" w:space="0" w:color="auto"/>
          </w:divBdr>
          <w:divsChild>
            <w:div w:id="60952715">
              <w:marLeft w:val="0"/>
              <w:marRight w:val="0"/>
              <w:marTop w:val="0"/>
              <w:marBottom w:val="0"/>
              <w:divBdr>
                <w:top w:val="none" w:sz="0" w:space="0" w:color="auto"/>
                <w:left w:val="none" w:sz="0" w:space="0" w:color="auto"/>
                <w:bottom w:val="none" w:sz="0" w:space="0" w:color="auto"/>
                <w:right w:val="none" w:sz="0" w:space="0" w:color="auto"/>
              </w:divBdr>
            </w:div>
            <w:div w:id="777213409">
              <w:marLeft w:val="0"/>
              <w:marRight w:val="0"/>
              <w:marTop w:val="0"/>
              <w:marBottom w:val="0"/>
              <w:divBdr>
                <w:top w:val="none" w:sz="0" w:space="0" w:color="auto"/>
                <w:left w:val="none" w:sz="0" w:space="0" w:color="auto"/>
                <w:bottom w:val="none" w:sz="0" w:space="0" w:color="auto"/>
                <w:right w:val="none" w:sz="0" w:space="0" w:color="auto"/>
              </w:divBdr>
            </w:div>
            <w:div w:id="1111632889">
              <w:marLeft w:val="0"/>
              <w:marRight w:val="0"/>
              <w:marTop w:val="0"/>
              <w:marBottom w:val="0"/>
              <w:divBdr>
                <w:top w:val="none" w:sz="0" w:space="0" w:color="auto"/>
                <w:left w:val="none" w:sz="0" w:space="0" w:color="auto"/>
                <w:bottom w:val="none" w:sz="0" w:space="0" w:color="auto"/>
                <w:right w:val="none" w:sz="0" w:space="0" w:color="auto"/>
              </w:divBdr>
            </w:div>
            <w:div w:id="12523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8386">
      <w:bodyDiv w:val="1"/>
      <w:marLeft w:val="0"/>
      <w:marRight w:val="0"/>
      <w:marTop w:val="0"/>
      <w:marBottom w:val="0"/>
      <w:divBdr>
        <w:top w:val="none" w:sz="0" w:space="0" w:color="auto"/>
        <w:left w:val="none" w:sz="0" w:space="0" w:color="auto"/>
        <w:bottom w:val="none" w:sz="0" w:space="0" w:color="auto"/>
        <w:right w:val="none" w:sz="0" w:space="0" w:color="auto"/>
      </w:divBdr>
      <w:divsChild>
        <w:div w:id="1584531329">
          <w:marLeft w:val="0"/>
          <w:marRight w:val="0"/>
          <w:marTop w:val="0"/>
          <w:marBottom w:val="0"/>
          <w:divBdr>
            <w:top w:val="none" w:sz="0" w:space="0" w:color="auto"/>
            <w:left w:val="none" w:sz="0" w:space="0" w:color="auto"/>
            <w:bottom w:val="none" w:sz="0" w:space="0" w:color="auto"/>
            <w:right w:val="none" w:sz="0" w:space="0" w:color="auto"/>
          </w:divBdr>
          <w:divsChild>
            <w:div w:id="512841990">
              <w:marLeft w:val="0"/>
              <w:marRight w:val="0"/>
              <w:marTop w:val="0"/>
              <w:marBottom w:val="0"/>
              <w:divBdr>
                <w:top w:val="none" w:sz="0" w:space="0" w:color="auto"/>
                <w:left w:val="none" w:sz="0" w:space="0" w:color="auto"/>
                <w:bottom w:val="none" w:sz="0" w:space="0" w:color="auto"/>
                <w:right w:val="none" w:sz="0" w:space="0" w:color="auto"/>
              </w:divBdr>
              <w:divsChild>
                <w:div w:id="1183132843">
                  <w:marLeft w:val="2928"/>
                  <w:marRight w:val="0"/>
                  <w:marTop w:val="720"/>
                  <w:marBottom w:val="0"/>
                  <w:divBdr>
                    <w:top w:val="none" w:sz="0" w:space="0" w:color="auto"/>
                    <w:left w:val="none" w:sz="0" w:space="0" w:color="auto"/>
                    <w:bottom w:val="none" w:sz="0" w:space="0" w:color="auto"/>
                    <w:right w:val="none" w:sz="0" w:space="0" w:color="auto"/>
                  </w:divBdr>
                  <w:divsChild>
                    <w:div w:id="9780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335598">
      <w:bodyDiv w:val="1"/>
      <w:marLeft w:val="0"/>
      <w:marRight w:val="0"/>
      <w:marTop w:val="0"/>
      <w:marBottom w:val="0"/>
      <w:divBdr>
        <w:top w:val="none" w:sz="0" w:space="0" w:color="auto"/>
        <w:left w:val="none" w:sz="0" w:space="0" w:color="auto"/>
        <w:bottom w:val="none" w:sz="0" w:space="0" w:color="auto"/>
        <w:right w:val="none" w:sz="0" w:space="0" w:color="auto"/>
      </w:divBdr>
      <w:divsChild>
        <w:div w:id="836193391">
          <w:marLeft w:val="0"/>
          <w:marRight w:val="0"/>
          <w:marTop w:val="0"/>
          <w:marBottom w:val="0"/>
          <w:divBdr>
            <w:top w:val="none" w:sz="0" w:space="0" w:color="auto"/>
            <w:left w:val="none" w:sz="0" w:space="0" w:color="auto"/>
            <w:bottom w:val="none" w:sz="0" w:space="0" w:color="auto"/>
            <w:right w:val="none" w:sz="0" w:space="0" w:color="auto"/>
          </w:divBdr>
          <w:divsChild>
            <w:div w:id="223372626">
              <w:marLeft w:val="0"/>
              <w:marRight w:val="0"/>
              <w:marTop w:val="0"/>
              <w:marBottom w:val="0"/>
              <w:divBdr>
                <w:top w:val="none" w:sz="0" w:space="0" w:color="auto"/>
                <w:left w:val="none" w:sz="0" w:space="0" w:color="auto"/>
                <w:bottom w:val="none" w:sz="0" w:space="0" w:color="auto"/>
                <w:right w:val="none" w:sz="0" w:space="0" w:color="auto"/>
              </w:divBdr>
            </w:div>
            <w:div w:id="369455747">
              <w:marLeft w:val="0"/>
              <w:marRight w:val="0"/>
              <w:marTop w:val="0"/>
              <w:marBottom w:val="0"/>
              <w:divBdr>
                <w:top w:val="none" w:sz="0" w:space="0" w:color="auto"/>
                <w:left w:val="none" w:sz="0" w:space="0" w:color="auto"/>
                <w:bottom w:val="none" w:sz="0" w:space="0" w:color="auto"/>
                <w:right w:val="none" w:sz="0" w:space="0" w:color="auto"/>
              </w:divBdr>
            </w:div>
            <w:div w:id="415253511">
              <w:marLeft w:val="0"/>
              <w:marRight w:val="0"/>
              <w:marTop w:val="0"/>
              <w:marBottom w:val="0"/>
              <w:divBdr>
                <w:top w:val="none" w:sz="0" w:space="0" w:color="auto"/>
                <w:left w:val="none" w:sz="0" w:space="0" w:color="auto"/>
                <w:bottom w:val="none" w:sz="0" w:space="0" w:color="auto"/>
                <w:right w:val="none" w:sz="0" w:space="0" w:color="auto"/>
              </w:divBdr>
            </w:div>
            <w:div w:id="724989938">
              <w:marLeft w:val="0"/>
              <w:marRight w:val="0"/>
              <w:marTop w:val="0"/>
              <w:marBottom w:val="0"/>
              <w:divBdr>
                <w:top w:val="none" w:sz="0" w:space="0" w:color="auto"/>
                <w:left w:val="none" w:sz="0" w:space="0" w:color="auto"/>
                <w:bottom w:val="none" w:sz="0" w:space="0" w:color="auto"/>
                <w:right w:val="none" w:sz="0" w:space="0" w:color="auto"/>
              </w:divBdr>
            </w:div>
            <w:div w:id="937758359">
              <w:marLeft w:val="0"/>
              <w:marRight w:val="0"/>
              <w:marTop w:val="0"/>
              <w:marBottom w:val="0"/>
              <w:divBdr>
                <w:top w:val="none" w:sz="0" w:space="0" w:color="auto"/>
                <w:left w:val="none" w:sz="0" w:space="0" w:color="auto"/>
                <w:bottom w:val="none" w:sz="0" w:space="0" w:color="auto"/>
                <w:right w:val="none" w:sz="0" w:space="0" w:color="auto"/>
              </w:divBdr>
            </w:div>
            <w:div w:id="983387062">
              <w:marLeft w:val="0"/>
              <w:marRight w:val="0"/>
              <w:marTop w:val="0"/>
              <w:marBottom w:val="0"/>
              <w:divBdr>
                <w:top w:val="none" w:sz="0" w:space="0" w:color="auto"/>
                <w:left w:val="none" w:sz="0" w:space="0" w:color="auto"/>
                <w:bottom w:val="none" w:sz="0" w:space="0" w:color="auto"/>
                <w:right w:val="none" w:sz="0" w:space="0" w:color="auto"/>
              </w:divBdr>
            </w:div>
            <w:div w:id="985551014">
              <w:marLeft w:val="0"/>
              <w:marRight w:val="0"/>
              <w:marTop w:val="0"/>
              <w:marBottom w:val="0"/>
              <w:divBdr>
                <w:top w:val="none" w:sz="0" w:space="0" w:color="auto"/>
                <w:left w:val="none" w:sz="0" w:space="0" w:color="auto"/>
                <w:bottom w:val="none" w:sz="0" w:space="0" w:color="auto"/>
                <w:right w:val="none" w:sz="0" w:space="0" w:color="auto"/>
              </w:divBdr>
            </w:div>
            <w:div w:id="1282611824">
              <w:marLeft w:val="0"/>
              <w:marRight w:val="0"/>
              <w:marTop w:val="0"/>
              <w:marBottom w:val="0"/>
              <w:divBdr>
                <w:top w:val="none" w:sz="0" w:space="0" w:color="auto"/>
                <w:left w:val="none" w:sz="0" w:space="0" w:color="auto"/>
                <w:bottom w:val="none" w:sz="0" w:space="0" w:color="auto"/>
                <w:right w:val="none" w:sz="0" w:space="0" w:color="auto"/>
              </w:divBdr>
            </w:div>
            <w:div w:id="1509715932">
              <w:marLeft w:val="0"/>
              <w:marRight w:val="0"/>
              <w:marTop w:val="0"/>
              <w:marBottom w:val="0"/>
              <w:divBdr>
                <w:top w:val="none" w:sz="0" w:space="0" w:color="auto"/>
                <w:left w:val="none" w:sz="0" w:space="0" w:color="auto"/>
                <w:bottom w:val="none" w:sz="0" w:space="0" w:color="auto"/>
                <w:right w:val="none" w:sz="0" w:space="0" w:color="auto"/>
              </w:divBdr>
            </w:div>
            <w:div w:id="1959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7738">
      <w:bodyDiv w:val="1"/>
      <w:marLeft w:val="0"/>
      <w:marRight w:val="0"/>
      <w:marTop w:val="0"/>
      <w:marBottom w:val="0"/>
      <w:divBdr>
        <w:top w:val="none" w:sz="0" w:space="0" w:color="auto"/>
        <w:left w:val="none" w:sz="0" w:space="0" w:color="auto"/>
        <w:bottom w:val="none" w:sz="0" w:space="0" w:color="auto"/>
        <w:right w:val="none" w:sz="0" w:space="0" w:color="auto"/>
      </w:divBdr>
      <w:divsChild>
        <w:div w:id="138110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0476989">
      <w:bodyDiv w:val="1"/>
      <w:marLeft w:val="0"/>
      <w:marRight w:val="0"/>
      <w:marTop w:val="0"/>
      <w:marBottom w:val="0"/>
      <w:divBdr>
        <w:top w:val="none" w:sz="0" w:space="0" w:color="auto"/>
        <w:left w:val="none" w:sz="0" w:space="0" w:color="auto"/>
        <w:bottom w:val="none" w:sz="0" w:space="0" w:color="auto"/>
        <w:right w:val="none" w:sz="0" w:space="0" w:color="auto"/>
      </w:divBdr>
      <w:divsChild>
        <w:div w:id="1401556482">
          <w:marLeft w:val="0"/>
          <w:marRight w:val="0"/>
          <w:marTop w:val="0"/>
          <w:marBottom w:val="0"/>
          <w:divBdr>
            <w:top w:val="none" w:sz="0" w:space="0" w:color="auto"/>
            <w:left w:val="none" w:sz="0" w:space="0" w:color="auto"/>
            <w:bottom w:val="none" w:sz="0" w:space="0" w:color="auto"/>
            <w:right w:val="none" w:sz="0" w:space="0" w:color="auto"/>
          </w:divBdr>
          <w:divsChild>
            <w:div w:id="685250971">
              <w:marLeft w:val="0"/>
              <w:marRight w:val="0"/>
              <w:marTop w:val="0"/>
              <w:marBottom w:val="0"/>
              <w:divBdr>
                <w:top w:val="none" w:sz="0" w:space="0" w:color="auto"/>
                <w:left w:val="none" w:sz="0" w:space="0" w:color="auto"/>
                <w:bottom w:val="none" w:sz="0" w:space="0" w:color="auto"/>
                <w:right w:val="none" w:sz="0" w:space="0" w:color="auto"/>
              </w:divBdr>
            </w:div>
            <w:div w:id="1230387320">
              <w:marLeft w:val="0"/>
              <w:marRight w:val="0"/>
              <w:marTop w:val="0"/>
              <w:marBottom w:val="0"/>
              <w:divBdr>
                <w:top w:val="none" w:sz="0" w:space="0" w:color="auto"/>
                <w:left w:val="none" w:sz="0" w:space="0" w:color="auto"/>
                <w:bottom w:val="none" w:sz="0" w:space="0" w:color="auto"/>
                <w:right w:val="none" w:sz="0" w:space="0" w:color="auto"/>
              </w:divBdr>
            </w:div>
            <w:div w:id="1902255757">
              <w:marLeft w:val="0"/>
              <w:marRight w:val="0"/>
              <w:marTop w:val="0"/>
              <w:marBottom w:val="0"/>
              <w:divBdr>
                <w:top w:val="none" w:sz="0" w:space="0" w:color="auto"/>
                <w:left w:val="none" w:sz="0" w:space="0" w:color="auto"/>
                <w:bottom w:val="none" w:sz="0" w:space="0" w:color="auto"/>
                <w:right w:val="none" w:sz="0" w:space="0" w:color="auto"/>
              </w:divBdr>
            </w:div>
            <w:div w:id="19438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2856">
      <w:bodyDiv w:val="1"/>
      <w:marLeft w:val="0"/>
      <w:marRight w:val="0"/>
      <w:marTop w:val="0"/>
      <w:marBottom w:val="0"/>
      <w:divBdr>
        <w:top w:val="none" w:sz="0" w:space="0" w:color="auto"/>
        <w:left w:val="none" w:sz="0" w:space="0" w:color="auto"/>
        <w:bottom w:val="none" w:sz="0" w:space="0" w:color="auto"/>
        <w:right w:val="none" w:sz="0" w:space="0" w:color="auto"/>
      </w:divBdr>
      <w:divsChild>
        <w:div w:id="988872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922112">
      <w:bodyDiv w:val="1"/>
      <w:marLeft w:val="0"/>
      <w:marRight w:val="0"/>
      <w:marTop w:val="0"/>
      <w:marBottom w:val="0"/>
      <w:divBdr>
        <w:top w:val="none" w:sz="0" w:space="0" w:color="auto"/>
        <w:left w:val="none" w:sz="0" w:space="0" w:color="auto"/>
        <w:bottom w:val="none" w:sz="0" w:space="0" w:color="auto"/>
        <w:right w:val="none" w:sz="0" w:space="0" w:color="auto"/>
      </w:divBdr>
    </w:div>
    <w:div w:id="1702049666">
      <w:bodyDiv w:val="1"/>
      <w:marLeft w:val="0"/>
      <w:marRight w:val="0"/>
      <w:marTop w:val="0"/>
      <w:marBottom w:val="0"/>
      <w:divBdr>
        <w:top w:val="none" w:sz="0" w:space="0" w:color="auto"/>
        <w:left w:val="none" w:sz="0" w:space="0" w:color="auto"/>
        <w:bottom w:val="none" w:sz="0" w:space="0" w:color="auto"/>
        <w:right w:val="none" w:sz="0" w:space="0" w:color="auto"/>
      </w:divBdr>
      <w:divsChild>
        <w:div w:id="166227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202043">
              <w:blockQuote w:val="1"/>
              <w:marLeft w:val="720"/>
              <w:marRight w:val="720"/>
              <w:marTop w:val="100"/>
              <w:marBottom w:val="100"/>
              <w:divBdr>
                <w:top w:val="none" w:sz="0" w:space="0" w:color="auto"/>
                <w:left w:val="none" w:sz="0" w:space="0" w:color="auto"/>
                <w:bottom w:val="none" w:sz="0" w:space="0" w:color="auto"/>
                <w:right w:val="none" w:sz="0" w:space="0" w:color="auto"/>
              </w:divBdr>
            </w:div>
            <w:div w:id="902255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03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3284528">
      <w:bodyDiv w:val="1"/>
      <w:marLeft w:val="0"/>
      <w:marRight w:val="0"/>
      <w:marTop w:val="0"/>
      <w:marBottom w:val="0"/>
      <w:divBdr>
        <w:top w:val="none" w:sz="0" w:space="0" w:color="auto"/>
        <w:left w:val="none" w:sz="0" w:space="0" w:color="auto"/>
        <w:bottom w:val="none" w:sz="0" w:space="0" w:color="auto"/>
        <w:right w:val="none" w:sz="0" w:space="0" w:color="auto"/>
      </w:divBdr>
      <w:divsChild>
        <w:div w:id="838233195">
          <w:marLeft w:val="0"/>
          <w:marRight w:val="0"/>
          <w:marTop w:val="0"/>
          <w:marBottom w:val="0"/>
          <w:divBdr>
            <w:top w:val="none" w:sz="0" w:space="0" w:color="auto"/>
            <w:left w:val="none" w:sz="0" w:space="0" w:color="auto"/>
            <w:bottom w:val="none" w:sz="0" w:space="0" w:color="auto"/>
            <w:right w:val="none" w:sz="0" w:space="0" w:color="auto"/>
          </w:divBdr>
          <w:divsChild>
            <w:div w:id="8795484">
              <w:marLeft w:val="0"/>
              <w:marRight w:val="0"/>
              <w:marTop w:val="0"/>
              <w:marBottom w:val="0"/>
              <w:divBdr>
                <w:top w:val="none" w:sz="0" w:space="0" w:color="auto"/>
                <w:left w:val="none" w:sz="0" w:space="0" w:color="auto"/>
                <w:bottom w:val="none" w:sz="0" w:space="0" w:color="auto"/>
                <w:right w:val="none" w:sz="0" w:space="0" w:color="auto"/>
              </w:divBdr>
              <w:divsChild>
                <w:div w:id="1073700867">
                  <w:marLeft w:val="0"/>
                  <w:marRight w:val="0"/>
                  <w:marTop w:val="0"/>
                  <w:marBottom w:val="0"/>
                  <w:divBdr>
                    <w:top w:val="none" w:sz="0" w:space="0" w:color="auto"/>
                    <w:left w:val="none" w:sz="0" w:space="0" w:color="auto"/>
                    <w:bottom w:val="none" w:sz="0" w:space="0" w:color="auto"/>
                    <w:right w:val="none" w:sz="0" w:space="0" w:color="auto"/>
                  </w:divBdr>
                  <w:divsChild>
                    <w:div w:id="14687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21668">
      <w:bodyDiv w:val="1"/>
      <w:marLeft w:val="0"/>
      <w:marRight w:val="0"/>
      <w:marTop w:val="0"/>
      <w:marBottom w:val="0"/>
      <w:divBdr>
        <w:top w:val="none" w:sz="0" w:space="0" w:color="auto"/>
        <w:left w:val="none" w:sz="0" w:space="0" w:color="auto"/>
        <w:bottom w:val="none" w:sz="0" w:space="0" w:color="auto"/>
        <w:right w:val="none" w:sz="0" w:space="0" w:color="auto"/>
      </w:divBdr>
      <w:divsChild>
        <w:div w:id="1033072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976278">
      <w:bodyDiv w:val="1"/>
      <w:marLeft w:val="0"/>
      <w:marRight w:val="0"/>
      <w:marTop w:val="0"/>
      <w:marBottom w:val="0"/>
      <w:divBdr>
        <w:top w:val="none" w:sz="0" w:space="0" w:color="auto"/>
        <w:left w:val="none" w:sz="0" w:space="0" w:color="auto"/>
        <w:bottom w:val="none" w:sz="0" w:space="0" w:color="auto"/>
        <w:right w:val="none" w:sz="0" w:space="0" w:color="auto"/>
      </w:divBdr>
      <w:divsChild>
        <w:div w:id="1641302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334952">
      <w:bodyDiv w:val="1"/>
      <w:marLeft w:val="0"/>
      <w:marRight w:val="0"/>
      <w:marTop w:val="0"/>
      <w:marBottom w:val="0"/>
      <w:divBdr>
        <w:top w:val="none" w:sz="0" w:space="0" w:color="auto"/>
        <w:left w:val="none" w:sz="0" w:space="0" w:color="auto"/>
        <w:bottom w:val="none" w:sz="0" w:space="0" w:color="auto"/>
        <w:right w:val="none" w:sz="0" w:space="0" w:color="auto"/>
      </w:divBdr>
    </w:div>
    <w:div w:id="1802840300">
      <w:bodyDiv w:val="1"/>
      <w:marLeft w:val="0"/>
      <w:marRight w:val="0"/>
      <w:marTop w:val="0"/>
      <w:marBottom w:val="0"/>
      <w:divBdr>
        <w:top w:val="none" w:sz="0" w:space="0" w:color="auto"/>
        <w:left w:val="none" w:sz="0" w:space="0" w:color="auto"/>
        <w:bottom w:val="none" w:sz="0" w:space="0" w:color="auto"/>
        <w:right w:val="none" w:sz="0" w:space="0" w:color="auto"/>
      </w:divBdr>
    </w:div>
    <w:div w:id="1810243315">
      <w:bodyDiv w:val="1"/>
      <w:marLeft w:val="0"/>
      <w:marRight w:val="0"/>
      <w:marTop w:val="0"/>
      <w:marBottom w:val="0"/>
      <w:divBdr>
        <w:top w:val="none" w:sz="0" w:space="0" w:color="auto"/>
        <w:left w:val="none" w:sz="0" w:space="0" w:color="auto"/>
        <w:bottom w:val="none" w:sz="0" w:space="0" w:color="auto"/>
        <w:right w:val="none" w:sz="0" w:space="0" w:color="auto"/>
      </w:divBdr>
      <w:divsChild>
        <w:div w:id="107164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59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8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99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9610200">
      <w:bodyDiv w:val="1"/>
      <w:marLeft w:val="0"/>
      <w:marRight w:val="0"/>
      <w:marTop w:val="0"/>
      <w:marBottom w:val="0"/>
      <w:divBdr>
        <w:top w:val="none" w:sz="0" w:space="0" w:color="auto"/>
        <w:left w:val="none" w:sz="0" w:space="0" w:color="auto"/>
        <w:bottom w:val="none" w:sz="0" w:space="0" w:color="auto"/>
        <w:right w:val="none" w:sz="0" w:space="0" w:color="auto"/>
      </w:divBdr>
      <w:divsChild>
        <w:div w:id="1881480770">
          <w:marLeft w:val="0"/>
          <w:marRight w:val="0"/>
          <w:marTop w:val="0"/>
          <w:marBottom w:val="84"/>
          <w:divBdr>
            <w:top w:val="none" w:sz="0" w:space="0" w:color="auto"/>
            <w:left w:val="none" w:sz="0" w:space="0" w:color="auto"/>
            <w:bottom w:val="none" w:sz="0" w:space="0" w:color="auto"/>
            <w:right w:val="none" w:sz="0" w:space="0" w:color="auto"/>
          </w:divBdr>
        </w:div>
      </w:divsChild>
    </w:div>
    <w:div w:id="1821574118">
      <w:bodyDiv w:val="1"/>
      <w:marLeft w:val="0"/>
      <w:marRight w:val="0"/>
      <w:marTop w:val="0"/>
      <w:marBottom w:val="0"/>
      <w:divBdr>
        <w:top w:val="none" w:sz="0" w:space="0" w:color="auto"/>
        <w:left w:val="none" w:sz="0" w:space="0" w:color="auto"/>
        <w:bottom w:val="none" w:sz="0" w:space="0" w:color="auto"/>
        <w:right w:val="none" w:sz="0" w:space="0" w:color="auto"/>
      </w:divBdr>
      <w:divsChild>
        <w:div w:id="622925645">
          <w:marLeft w:val="150"/>
          <w:marRight w:val="150"/>
          <w:marTop w:val="150"/>
          <w:marBottom w:val="150"/>
          <w:divBdr>
            <w:top w:val="none" w:sz="0" w:space="0" w:color="auto"/>
            <w:left w:val="none" w:sz="0" w:space="0" w:color="auto"/>
            <w:bottom w:val="none" w:sz="0" w:space="0" w:color="auto"/>
            <w:right w:val="none" w:sz="0" w:space="0" w:color="auto"/>
          </w:divBdr>
        </w:div>
      </w:divsChild>
    </w:div>
    <w:div w:id="1844660925">
      <w:bodyDiv w:val="1"/>
      <w:marLeft w:val="0"/>
      <w:marRight w:val="0"/>
      <w:marTop w:val="0"/>
      <w:marBottom w:val="0"/>
      <w:divBdr>
        <w:top w:val="none" w:sz="0" w:space="0" w:color="auto"/>
        <w:left w:val="none" w:sz="0" w:space="0" w:color="auto"/>
        <w:bottom w:val="none" w:sz="0" w:space="0" w:color="auto"/>
        <w:right w:val="none" w:sz="0" w:space="0" w:color="auto"/>
      </w:divBdr>
      <w:divsChild>
        <w:div w:id="724063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360580">
      <w:bodyDiv w:val="1"/>
      <w:marLeft w:val="0"/>
      <w:marRight w:val="0"/>
      <w:marTop w:val="0"/>
      <w:marBottom w:val="0"/>
      <w:divBdr>
        <w:top w:val="none" w:sz="0" w:space="0" w:color="auto"/>
        <w:left w:val="none" w:sz="0" w:space="0" w:color="auto"/>
        <w:bottom w:val="none" w:sz="0" w:space="0" w:color="auto"/>
        <w:right w:val="none" w:sz="0" w:space="0" w:color="auto"/>
      </w:divBdr>
      <w:divsChild>
        <w:div w:id="350306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100147">
      <w:bodyDiv w:val="1"/>
      <w:marLeft w:val="0"/>
      <w:marRight w:val="0"/>
      <w:marTop w:val="0"/>
      <w:marBottom w:val="0"/>
      <w:divBdr>
        <w:top w:val="none" w:sz="0" w:space="0" w:color="auto"/>
        <w:left w:val="none" w:sz="0" w:space="0" w:color="auto"/>
        <w:bottom w:val="none" w:sz="0" w:space="0" w:color="auto"/>
        <w:right w:val="none" w:sz="0" w:space="0" w:color="auto"/>
      </w:divBdr>
      <w:divsChild>
        <w:div w:id="1481074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499381">
      <w:bodyDiv w:val="1"/>
      <w:marLeft w:val="0"/>
      <w:marRight w:val="0"/>
      <w:marTop w:val="0"/>
      <w:marBottom w:val="0"/>
      <w:divBdr>
        <w:top w:val="none" w:sz="0" w:space="0" w:color="auto"/>
        <w:left w:val="none" w:sz="0" w:space="0" w:color="auto"/>
        <w:bottom w:val="none" w:sz="0" w:space="0" w:color="auto"/>
        <w:right w:val="none" w:sz="0" w:space="0" w:color="auto"/>
      </w:divBdr>
    </w:div>
    <w:div w:id="2061007024">
      <w:bodyDiv w:val="1"/>
      <w:marLeft w:val="0"/>
      <w:marRight w:val="0"/>
      <w:marTop w:val="0"/>
      <w:marBottom w:val="0"/>
      <w:divBdr>
        <w:top w:val="none" w:sz="0" w:space="0" w:color="auto"/>
        <w:left w:val="none" w:sz="0" w:space="0" w:color="auto"/>
        <w:bottom w:val="none" w:sz="0" w:space="0" w:color="auto"/>
        <w:right w:val="none" w:sz="0" w:space="0" w:color="auto"/>
      </w:divBdr>
      <w:divsChild>
        <w:div w:id="715468126">
          <w:marLeft w:val="150"/>
          <w:marRight w:val="150"/>
          <w:marTop w:val="150"/>
          <w:marBottom w:val="150"/>
          <w:divBdr>
            <w:top w:val="none" w:sz="0" w:space="0" w:color="auto"/>
            <w:left w:val="none" w:sz="0" w:space="0" w:color="auto"/>
            <w:bottom w:val="none" w:sz="0" w:space="0" w:color="auto"/>
            <w:right w:val="none" w:sz="0" w:space="0" w:color="auto"/>
          </w:divBdr>
        </w:div>
      </w:divsChild>
    </w:div>
    <w:div w:id="2083332833">
      <w:bodyDiv w:val="1"/>
      <w:marLeft w:val="0"/>
      <w:marRight w:val="0"/>
      <w:marTop w:val="0"/>
      <w:marBottom w:val="0"/>
      <w:divBdr>
        <w:top w:val="none" w:sz="0" w:space="0" w:color="auto"/>
        <w:left w:val="none" w:sz="0" w:space="0" w:color="auto"/>
        <w:bottom w:val="none" w:sz="0" w:space="0" w:color="auto"/>
        <w:right w:val="none" w:sz="0" w:space="0" w:color="auto"/>
      </w:divBdr>
      <w:divsChild>
        <w:div w:id="984310577">
          <w:marLeft w:val="0"/>
          <w:marRight w:val="0"/>
          <w:marTop w:val="0"/>
          <w:marBottom w:val="0"/>
          <w:divBdr>
            <w:top w:val="none" w:sz="0" w:space="0" w:color="auto"/>
            <w:left w:val="none" w:sz="0" w:space="0" w:color="auto"/>
            <w:bottom w:val="none" w:sz="0" w:space="0" w:color="auto"/>
            <w:right w:val="none" w:sz="0" w:space="0" w:color="auto"/>
          </w:divBdr>
          <w:divsChild>
            <w:div w:id="20016154">
              <w:marLeft w:val="0"/>
              <w:marRight w:val="0"/>
              <w:marTop w:val="0"/>
              <w:marBottom w:val="0"/>
              <w:divBdr>
                <w:top w:val="none" w:sz="0" w:space="0" w:color="auto"/>
                <w:left w:val="none" w:sz="0" w:space="0" w:color="auto"/>
                <w:bottom w:val="none" w:sz="0" w:space="0" w:color="auto"/>
                <w:right w:val="none" w:sz="0" w:space="0" w:color="auto"/>
              </w:divBdr>
            </w:div>
            <w:div w:id="44180581">
              <w:marLeft w:val="0"/>
              <w:marRight w:val="0"/>
              <w:marTop w:val="0"/>
              <w:marBottom w:val="0"/>
              <w:divBdr>
                <w:top w:val="none" w:sz="0" w:space="0" w:color="auto"/>
                <w:left w:val="none" w:sz="0" w:space="0" w:color="auto"/>
                <w:bottom w:val="none" w:sz="0" w:space="0" w:color="auto"/>
                <w:right w:val="none" w:sz="0" w:space="0" w:color="auto"/>
              </w:divBdr>
            </w:div>
            <w:div w:id="655036487">
              <w:marLeft w:val="0"/>
              <w:marRight w:val="0"/>
              <w:marTop w:val="0"/>
              <w:marBottom w:val="0"/>
              <w:divBdr>
                <w:top w:val="none" w:sz="0" w:space="0" w:color="auto"/>
                <w:left w:val="none" w:sz="0" w:space="0" w:color="auto"/>
                <w:bottom w:val="none" w:sz="0" w:space="0" w:color="auto"/>
                <w:right w:val="none" w:sz="0" w:space="0" w:color="auto"/>
              </w:divBdr>
            </w:div>
            <w:div w:id="957184218">
              <w:marLeft w:val="0"/>
              <w:marRight w:val="0"/>
              <w:marTop w:val="0"/>
              <w:marBottom w:val="0"/>
              <w:divBdr>
                <w:top w:val="none" w:sz="0" w:space="0" w:color="auto"/>
                <w:left w:val="none" w:sz="0" w:space="0" w:color="auto"/>
                <w:bottom w:val="none" w:sz="0" w:space="0" w:color="auto"/>
                <w:right w:val="none" w:sz="0" w:space="0" w:color="auto"/>
              </w:divBdr>
            </w:div>
            <w:div w:id="1071583702">
              <w:marLeft w:val="0"/>
              <w:marRight w:val="0"/>
              <w:marTop w:val="0"/>
              <w:marBottom w:val="0"/>
              <w:divBdr>
                <w:top w:val="none" w:sz="0" w:space="0" w:color="auto"/>
                <w:left w:val="none" w:sz="0" w:space="0" w:color="auto"/>
                <w:bottom w:val="none" w:sz="0" w:space="0" w:color="auto"/>
                <w:right w:val="none" w:sz="0" w:space="0" w:color="auto"/>
              </w:divBdr>
            </w:div>
            <w:div w:id="1260022611">
              <w:marLeft w:val="0"/>
              <w:marRight w:val="0"/>
              <w:marTop w:val="0"/>
              <w:marBottom w:val="0"/>
              <w:divBdr>
                <w:top w:val="none" w:sz="0" w:space="0" w:color="auto"/>
                <w:left w:val="none" w:sz="0" w:space="0" w:color="auto"/>
                <w:bottom w:val="none" w:sz="0" w:space="0" w:color="auto"/>
                <w:right w:val="none" w:sz="0" w:space="0" w:color="auto"/>
              </w:divBdr>
            </w:div>
            <w:div w:id="1326666823">
              <w:marLeft w:val="0"/>
              <w:marRight w:val="0"/>
              <w:marTop w:val="0"/>
              <w:marBottom w:val="0"/>
              <w:divBdr>
                <w:top w:val="none" w:sz="0" w:space="0" w:color="auto"/>
                <w:left w:val="none" w:sz="0" w:space="0" w:color="auto"/>
                <w:bottom w:val="none" w:sz="0" w:space="0" w:color="auto"/>
                <w:right w:val="none" w:sz="0" w:space="0" w:color="auto"/>
              </w:divBdr>
            </w:div>
            <w:div w:id="1781486565">
              <w:marLeft w:val="0"/>
              <w:marRight w:val="0"/>
              <w:marTop w:val="0"/>
              <w:marBottom w:val="0"/>
              <w:divBdr>
                <w:top w:val="none" w:sz="0" w:space="0" w:color="auto"/>
                <w:left w:val="none" w:sz="0" w:space="0" w:color="auto"/>
                <w:bottom w:val="none" w:sz="0" w:space="0" w:color="auto"/>
                <w:right w:val="none" w:sz="0" w:space="0" w:color="auto"/>
              </w:divBdr>
            </w:div>
            <w:div w:id="20988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04568">
      <w:bodyDiv w:val="1"/>
      <w:marLeft w:val="0"/>
      <w:marRight w:val="0"/>
      <w:marTop w:val="0"/>
      <w:marBottom w:val="0"/>
      <w:divBdr>
        <w:top w:val="none" w:sz="0" w:space="0" w:color="auto"/>
        <w:left w:val="none" w:sz="0" w:space="0" w:color="auto"/>
        <w:bottom w:val="none" w:sz="0" w:space="0" w:color="auto"/>
        <w:right w:val="none" w:sz="0" w:space="0" w:color="auto"/>
      </w:divBdr>
      <w:divsChild>
        <w:div w:id="1227257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443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063344">
      <w:bodyDiv w:val="1"/>
      <w:marLeft w:val="0"/>
      <w:marRight w:val="0"/>
      <w:marTop w:val="0"/>
      <w:marBottom w:val="0"/>
      <w:divBdr>
        <w:top w:val="none" w:sz="0" w:space="0" w:color="auto"/>
        <w:left w:val="none" w:sz="0" w:space="0" w:color="auto"/>
        <w:bottom w:val="none" w:sz="0" w:space="0" w:color="auto"/>
        <w:right w:val="none" w:sz="0" w:space="0" w:color="auto"/>
      </w:divBdr>
      <w:divsChild>
        <w:div w:id="440029967">
          <w:marLeft w:val="0"/>
          <w:marRight w:val="0"/>
          <w:marTop w:val="0"/>
          <w:marBottom w:val="0"/>
          <w:divBdr>
            <w:top w:val="none" w:sz="0" w:space="0" w:color="auto"/>
            <w:left w:val="none" w:sz="0" w:space="0" w:color="auto"/>
            <w:bottom w:val="none" w:sz="0" w:space="0" w:color="auto"/>
            <w:right w:val="none" w:sz="0" w:space="0" w:color="auto"/>
          </w:divBdr>
          <w:divsChild>
            <w:div w:id="1815172453">
              <w:marLeft w:val="0"/>
              <w:marRight w:val="0"/>
              <w:marTop w:val="0"/>
              <w:marBottom w:val="0"/>
              <w:divBdr>
                <w:top w:val="none" w:sz="0" w:space="0" w:color="auto"/>
                <w:left w:val="none" w:sz="0" w:space="0" w:color="auto"/>
                <w:bottom w:val="none" w:sz="0" w:space="0" w:color="auto"/>
                <w:right w:val="none" w:sz="0" w:space="0" w:color="auto"/>
              </w:divBdr>
              <w:divsChild>
                <w:div w:id="2043089794">
                  <w:marLeft w:val="0"/>
                  <w:marRight w:val="0"/>
                  <w:marTop w:val="0"/>
                  <w:marBottom w:val="0"/>
                  <w:divBdr>
                    <w:top w:val="none" w:sz="0" w:space="0" w:color="auto"/>
                    <w:left w:val="none" w:sz="0" w:space="0" w:color="auto"/>
                    <w:bottom w:val="none" w:sz="0" w:space="0" w:color="auto"/>
                    <w:right w:val="none" w:sz="0" w:space="0" w:color="auto"/>
                  </w:divBdr>
                  <w:divsChild>
                    <w:div w:id="19566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3281">
      <w:bodyDiv w:val="1"/>
      <w:marLeft w:val="0"/>
      <w:marRight w:val="0"/>
      <w:marTop w:val="0"/>
      <w:marBottom w:val="0"/>
      <w:divBdr>
        <w:top w:val="none" w:sz="0" w:space="0" w:color="auto"/>
        <w:left w:val="none" w:sz="0" w:space="0" w:color="auto"/>
        <w:bottom w:val="none" w:sz="0" w:space="0" w:color="auto"/>
        <w:right w:val="none" w:sz="0" w:space="0" w:color="auto"/>
      </w:divBdr>
      <w:divsChild>
        <w:div w:id="780105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243772">
              <w:blockQuote w:val="1"/>
              <w:marLeft w:val="720"/>
              <w:marRight w:val="720"/>
              <w:marTop w:val="100"/>
              <w:marBottom w:val="100"/>
              <w:divBdr>
                <w:top w:val="none" w:sz="0" w:space="0" w:color="auto"/>
                <w:left w:val="none" w:sz="0" w:space="0" w:color="auto"/>
                <w:bottom w:val="none" w:sz="0" w:space="0" w:color="auto"/>
                <w:right w:val="none" w:sz="0" w:space="0" w:color="auto"/>
              </w:divBdr>
            </w:div>
            <w:div w:id="77968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134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131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ome.treasury.gov/policy-issues/tax-policy/revenue-proposals" TargetMode="External"/><Relationship Id="rId13" Type="http://schemas.openxmlformats.org/officeDocument/2006/relationships/hyperlink" Target="https://home.treasury.gov/system/files/136/Paycheck-Protection-Program-Application-3-30-2020-v3.pdf" TargetMode="External"/><Relationship Id="rId18" Type="http://schemas.openxmlformats.org/officeDocument/2006/relationships/image" Target="media/image2.png"/><Relationship Id="rId26" Type="http://schemas.openxmlformats.org/officeDocument/2006/relationships/hyperlink" Target="https://www.cshco.com/articles/summary-of-families-first-coronavirus-response-act/" TargetMode="External"/><Relationship Id="rId3" Type="http://schemas.openxmlformats.org/officeDocument/2006/relationships/styles" Target="styles.xml"/><Relationship Id="rId21" Type="http://schemas.openxmlformats.org/officeDocument/2006/relationships/hyperlink" Target="https://www.forbes.com/sites/anthonynitti/2020/04/15/ten-things-we-need-to-know-about-paycheck-protection-program-loan-forgiveness/" TargetMode="External"/><Relationship Id="rId7" Type="http://schemas.openxmlformats.org/officeDocument/2006/relationships/endnotes" Target="endnotes.xml"/><Relationship Id="rId12" Type="http://schemas.openxmlformats.org/officeDocument/2006/relationships/hyperlink" Target="https://fortune.com/2020/04/29/sba-ppp-paycheck-protection-program-loans-small-business-administration-inside-chaos/" TargetMode="External"/><Relationship Id="rId17" Type="http://schemas.openxmlformats.org/officeDocument/2006/relationships/hyperlink" Target="https://www.sba.gov/sites/default/files/2021-07/PPP%20--%20Forgiveness%20Application%20and%20Instructions%20--%203508%20%287.30.2021%29-508.pdf"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wsj.com/articles/sba-veered-from-guidelines-on-small-business-loans-report-says-11588971101" TargetMode="External"/><Relationship Id="rId20" Type="http://schemas.openxmlformats.org/officeDocument/2006/relationships/hyperlink" Target="https://www.forbes.com/sites/brucebrumberg/2020/05/14/federal-charges-of-ppp-loan-fraud-are-here-to-remind-you-these-loans-are-not-free-mone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bes.com/sites/anthonynitti/2020/04/05/paycheck-protection-program-loans-three-things-the-sba-and-banks-need-to-agree-on-now/" TargetMode="External"/><Relationship Id="rId24" Type="http://schemas.openxmlformats.org/officeDocument/2006/relationships/hyperlink" Target="https://www.littler.com/publication-press/publication/new-york-enacts-statewide-sick-leave-law" TargetMode="External"/><Relationship Id="rId5" Type="http://schemas.openxmlformats.org/officeDocument/2006/relationships/webSettings" Target="webSettings.xml"/><Relationship Id="rId15" Type="http://schemas.openxmlformats.org/officeDocument/2006/relationships/hyperlink" Target="https://home.treasury.gov/system/files/136/Paycheck-Protection-Program-Frequently-Asked-Questions.pdf" TargetMode="External"/><Relationship Id="rId23" Type="http://schemas.openxmlformats.org/officeDocument/2006/relationships/hyperlink" Target="https://www.zenefits.com/workest/the-definitive-list-of-states-and-cities-with-paid-sick-leave-laws/"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forbes.com/sites/kellyphillipserb/2020/05/10/feds-announce-first-arrests-in-country-linked-to-ppp-loan-fraud/" TargetMode="External"/><Relationship Id="rId4" Type="http://schemas.openxmlformats.org/officeDocument/2006/relationships/settings" Target="settings.xml"/><Relationship Id="rId9" Type="http://schemas.openxmlformats.org/officeDocument/2006/relationships/hyperlink" Target="https://www.sba.gov/sites/default/files/2020-07/PPP-Borrower-Application-Form-508.pdf" TargetMode="External"/><Relationship Id="rId14" Type="http://schemas.openxmlformats.org/officeDocument/2006/relationships/hyperlink" Target="https://factba.se/sba-loans" TargetMode="External"/><Relationship Id="rId22" Type="http://schemas.openxmlformats.org/officeDocument/2006/relationships/hyperlink" Target="https://www.journalofaccountancy.com/news/2020/may/expenses-reimbursed-by-ppp-not-tax-deductible-paycheck-protection-program.html"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CCB69-FBEE-4B5E-9DBE-41A9DBC8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1247</TotalTime>
  <Pages>39</Pages>
  <Words>17328</Words>
  <Characters>98772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Insert #</vt:lpstr>
    </vt:vector>
  </TitlesOfParts>
  <Company>Indiana University</Company>
  <LinksUpToDate>false</LinksUpToDate>
  <CharactersWithSpaces>115869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c:title>
  <dc:subject/>
  <dc:creator>William N. Kulsrud</dc:creator>
  <cp:keywords/>
  <dc:description/>
  <cp:lastModifiedBy>Bill</cp:lastModifiedBy>
  <cp:revision>8</cp:revision>
  <cp:lastPrinted>2007-01-11T16:45:00Z</cp:lastPrinted>
  <dcterms:created xsi:type="dcterms:W3CDTF">2021-09-06T20:53:00Z</dcterms:created>
  <dcterms:modified xsi:type="dcterms:W3CDTF">2021-09-07T17:30:00Z</dcterms:modified>
</cp:coreProperties>
</file>